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200" w:after="0" w:line="360" w:lineRule="auto"/>
        <w:rPr>
          <w:b/>
          <w:color w:val="000000"/>
          <w:sz w:val="28"/>
          <w:szCs w:val="28"/>
        </w:rPr>
      </w:pPr>
      <w:r>
        <w:rPr>
          <w:b/>
          <w:color w:val="000000"/>
          <w:sz w:val="28"/>
          <w:szCs w:val="28"/>
        </w:rPr>
        <w:t>Optimasi Platform Digital sebagai Transformasi Pendidikan Islam Berkemajuan</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Cambria" w:hAnsi="Cambria" w:eastAsia="Cambria" w:cs="Cambria"/>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360" w:lineRule="auto"/>
        <w:rPr>
          <w:rFonts w:ascii="Cambria" w:hAnsi="Cambria" w:eastAsia="Cambria" w:cs="Cambria"/>
          <w:b/>
          <w:color w:val="000000"/>
          <w:sz w:val="24"/>
          <w:szCs w:val="24"/>
        </w:rPr>
      </w:pPr>
      <w:r>
        <w:rPr>
          <w:rFonts w:ascii="Cambria" w:hAnsi="Cambria" w:eastAsia="Cambria" w:cs="Cambria"/>
          <w:b/>
          <w:color w:val="000000"/>
          <w:sz w:val="24"/>
          <w:szCs w:val="24"/>
          <w:vertAlign w:val="superscript"/>
        </w:rPr>
        <w:t>1</w:t>
      </w:r>
      <w:r>
        <w:rPr>
          <w:rFonts w:ascii="Cambria" w:hAnsi="Cambria" w:eastAsia="Cambria" w:cs="Cambria"/>
          <w:b/>
          <w:color w:val="000000"/>
          <w:sz w:val="24"/>
          <w:szCs w:val="24"/>
        </w:rPr>
        <w:t xml:space="preserve">Unik Hanifah Salsabila, </w:t>
      </w:r>
      <w:r>
        <w:rPr>
          <w:rFonts w:ascii="Cambria" w:hAnsi="Cambria" w:eastAsia="Cambria" w:cs="Cambria"/>
          <w:b/>
          <w:color w:val="000000"/>
          <w:sz w:val="24"/>
          <w:szCs w:val="24"/>
          <w:vertAlign w:val="superscript"/>
        </w:rPr>
        <w:t>2</w:t>
      </w:r>
      <w:r>
        <w:rPr>
          <w:rFonts w:ascii="Cambria" w:hAnsi="Cambria" w:eastAsia="Cambria" w:cs="Cambria"/>
          <w:b/>
          <w:color w:val="000000"/>
          <w:sz w:val="24"/>
          <w:szCs w:val="24"/>
        </w:rPr>
        <w:t xml:space="preserve">Anggie Perwitasari, </w:t>
      </w:r>
      <w:r>
        <w:rPr>
          <w:rFonts w:ascii="Cambria" w:hAnsi="Cambria" w:eastAsia="Cambria" w:cs="Cambria"/>
          <w:b/>
          <w:color w:val="000000"/>
          <w:sz w:val="24"/>
          <w:szCs w:val="24"/>
          <w:vertAlign w:val="superscript"/>
        </w:rPr>
        <w:t>3</w:t>
      </w:r>
      <w:r>
        <w:rPr>
          <w:rFonts w:ascii="Cambria" w:hAnsi="Cambria" w:eastAsia="Cambria" w:cs="Cambria"/>
          <w:b/>
          <w:color w:val="000000"/>
          <w:sz w:val="24"/>
          <w:szCs w:val="24"/>
        </w:rPr>
        <w:t xml:space="preserve">Neysa Salsabila Felasufa Amadea, </w:t>
      </w:r>
      <w:r>
        <w:rPr>
          <w:rFonts w:hint="default" w:ascii="Cambria" w:hAnsi="Cambria" w:eastAsia="Cambria" w:cs="Cambria"/>
          <w:b/>
          <w:color w:val="000000"/>
          <w:sz w:val="24"/>
          <w:szCs w:val="24"/>
          <w:vertAlign w:val="superscript"/>
          <w:lang w:val="en-US"/>
        </w:rPr>
        <w:t>4</w:t>
      </w:r>
      <w:r>
        <w:rPr>
          <w:rFonts w:ascii="Cambria" w:hAnsi="Cambria" w:eastAsia="Cambria" w:cs="Cambria"/>
          <w:b/>
          <w:color w:val="000000"/>
          <w:sz w:val="24"/>
          <w:szCs w:val="24"/>
        </w:rPr>
        <w:t xml:space="preserve">Khusnul Khasanah, </w:t>
      </w:r>
      <w:r>
        <w:rPr>
          <w:rFonts w:hint="default" w:ascii="Cambria" w:hAnsi="Cambria" w:eastAsia="Cambria" w:cs="Cambria"/>
          <w:b/>
          <w:color w:val="000000"/>
          <w:sz w:val="24"/>
          <w:szCs w:val="24"/>
          <w:vertAlign w:val="superscript"/>
          <w:lang w:val="en-US"/>
        </w:rPr>
        <w:t>5</w:t>
      </w:r>
      <w:bookmarkStart w:id="0" w:name="_GoBack"/>
      <w:bookmarkEnd w:id="0"/>
      <w:r>
        <w:rPr>
          <w:rFonts w:ascii="Cambria" w:hAnsi="Cambria" w:eastAsia="Cambria" w:cs="Cambria"/>
          <w:b/>
          <w:color w:val="000000"/>
          <w:sz w:val="24"/>
          <w:szCs w:val="24"/>
        </w:rPr>
        <w:t xml:space="preserve">Bellafia Afisya </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Cambria" w:hAnsi="Cambria" w:eastAsia="Cambria" w:cs="Cambria"/>
          <w:color w:val="000000"/>
        </w:rPr>
      </w:pPr>
      <w:r>
        <w:rPr>
          <w:rFonts w:ascii="Cambria" w:hAnsi="Cambria" w:eastAsia="Cambria" w:cs="Cambria"/>
          <w:color w:val="000000"/>
          <w:vertAlign w:val="superscript"/>
        </w:rPr>
        <w:t>1</w:t>
      </w:r>
      <w:r>
        <w:rPr>
          <w:rFonts w:ascii="Cambria" w:hAnsi="Cambria" w:eastAsia="Cambria" w:cs="Cambria"/>
          <w:color w:val="000000"/>
        </w:rPr>
        <w:t>Pendidikan Agama Islam, Fakultas Agama Islam, Universitas Ahmad Dahlan</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Cambria" w:hAnsi="Cambria" w:eastAsia="Cambria" w:cs="Cambria"/>
        </w:rPr>
      </w:pPr>
      <w:r>
        <w:rPr>
          <w:rFonts w:ascii="Cambria" w:hAnsi="Cambria" w:eastAsia="Cambria" w:cs="Cambria"/>
          <w:color w:val="000000"/>
        </w:rPr>
        <w:t xml:space="preserve">Email: </w:t>
      </w:r>
      <w:r>
        <w:fldChar w:fldCharType="begin"/>
      </w:r>
      <w:r>
        <w:instrText xml:space="preserve"> HYPERLINK "mailto:unik.salsabila@pai.uad.ac.id" </w:instrText>
      </w:r>
      <w:r>
        <w:fldChar w:fldCharType="separate"/>
      </w:r>
      <w:r>
        <w:rPr>
          <w:rStyle w:val="12"/>
          <w:rFonts w:ascii="Cambria" w:hAnsi="Cambria" w:eastAsia="Cambria" w:cs="Cambria"/>
        </w:rPr>
        <w:t>unik.salsabila@pai.uad.ac.id</w:t>
      </w:r>
      <w:r>
        <w:rPr>
          <w:rStyle w:val="12"/>
          <w:rFonts w:ascii="Cambria" w:hAnsi="Cambria" w:eastAsia="Cambria" w:cs="Cambria"/>
        </w:rPr>
        <w:fldChar w:fldCharType="end"/>
      </w:r>
      <w:r>
        <w:rPr>
          <w:rFonts w:ascii="Cambria" w:hAnsi="Cambria" w:eastAsia="Cambria" w:cs="Cambria"/>
          <w:color w:val="000000"/>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Cambria" w:hAnsi="Cambria" w:eastAsia="Cambria" w:cs="Cambria"/>
          <w:color w:val="000000"/>
        </w:rPr>
      </w:pPr>
    </w:p>
    <w:p>
      <w:pPr>
        <w:spacing w:line="360" w:lineRule="auto"/>
        <w:rPr>
          <w:rFonts w:ascii="Cambria" w:hAnsi="Cambria" w:eastAsia="Cambria" w:cs="Cambria"/>
          <w:i/>
        </w:rPr>
      </w:pPr>
      <w:r>
        <w:rPr>
          <w:rFonts w:ascii="Cambria" w:hAnsi="Cambria" w:eastAsia="Cambria" w:cs="Cambria"/>
          <w:i/>
        </w:rPr>
        <w:t>Abstract</w:t>
      </w:r>
    </w:p>
    <w:p>
      <w:pPr>
        <w:spacing w:line="360" w:lineRule="auto"/>
        <w:rPr>
          <w:rFonts w:ascii="Cambria" w:hAnsi="Cambria" w:eastAsia="Cambria" w:cs="Cambria"/>
          <w:i/>
        </w:rPr>
      </w:pPr>
    </w:p>
    <w:p>
      <w:pPr>
        <w:spacing w:line="360" w:lineRule="auto"/>
        <w:jc w:val="both"/>
        <w:rPr>
          <w:rFonts w:eastAsia="Cambria" w:asciiTheme="minorHAnsi" w:hAnsiTheme="minorHAnsi"/>
          <w:i/>
        </w:rPr>
      </w:pPr>
      <w:r>
        <w:rPr>
          <w:rFonts w:eastAsia="Cambria" w:asciiTheme="minorHAnsi" w:hAnsiTheme="minorHAnsi"/>
          <w:i/>
        </w:rPr>
        <w:t>Advances in technology and information help people develop their abilities in dealing with the current Covid-19 pandemic. Digital transformation in the world of education is the main trigger for student learning motivation and educators can utilize their digital skills to innovate in developing learning materials in schools. This journal uses a method in the form of a qualitative approach to literature study. The data we collect is obtained through data identification, reading, understanding, discussing data, presenting and drawing conclusions seeking and collecting sources from books and relevant journals. So researchers will find and understand the problems taken regarding how to optimize digital platforms with the transformation into progressive Islamic education. The results of this study indicate that digital transformation as a form of realization of progressive Islamic education provides a new direction for every community's life to be able to use it as well as possible so that it is not misused. Therefore, people need to equip themselves with education. Good use of digital and optimizing digital media platforms is important as an educational alternative to developing learning so that it is interesting, effective, and up to date. Microsoft Office 365 Zenius, Zoom, Google for Education, Whatsapp, Smart class are examples of platforms that can help optimize digital media in the renewal of advanced Islamic education.</w:t>
      </w:r>
    </w:p>
    <w:p>
      <w:pPr>
        <w:spacing w:line="360" w:lineRule="auto"/>
        <w:jc w:val="both"/>
        <w:rPr>
          <w:rFonts w:eastAsia="Cambria" w:asciiTheme="minorHAnsi" w:hAnsiTheme="minorHAnsi"/>
          <w:i/>
        </w:rPr>
      </w:pPr>
    </w:p>
    <w:p>
      <w:pPr>
        <w:spacing w:line="360" w:lineRule="auto"/>
        <w:jc w:val="both"/>
        <w:rPr>
          <w:rFonts w:eastAsia="Cambria" w:asciiTheme="minorHAnsi" w:hAnsiTheme="minorHAnsi"/>
          <w:i/>
        </w:rPr>
      </w:pPr>
      <w:r>
        <w:rPr>
          <w:rFonts w:eastAsia="Cambria" w:asciiTheme="minorHAnsi" w:hAnsiTheme="minorHAnsi"/>
          <w:i/>
        </w:rPr>
        <w:t>Keywords: Digital platforms; Transformation; Islamic education; progress.</w:t>
      </w:r>
    </w:p>
    <w:p>
      <w:pPr>
        <w:pBdr>
          <w:top w:val="none" w:color="auto" w:sz="0" w:space="0"/>
          <w:left w:val="none" w:color="auto" w:sz="0" w:space="0"/>
          <w:bottom w:val="none" w:color="auto" w:sz="0" w:space="0"/>
          <w:right w:val="none" w:color="auto" w:sz="0" w:space="0"/>
          <w:between w:val="none" w:color="auto" w:sz="0" w:space="0"/>
        </w:pBdr>
        <w:spacing w:line="360" w:lineRule="auto"/>
        <w:ind w:right="567"/>
        <w:jc w:val="both"/>
        <w:rPr>
          <w:rFonts w:ascii="Cambria" w:hAnsi="Cambria" w:eastAsia="Cambria" w:cs="Cambria"/>
          <w:b/>
          <w:i/>
          <w:color w:val="000000"/>
          <w:sz w:val="24"/>
          <w:szCs w:val="24"/>
        </w:rPr>
      </w:pPr>
    </w:p>
    <w:p>
      <w:pPr>
        <w:spacing w:line="360" w:lineRule="auto"/>
        <w:rPr>
          <w:rFonts w:eastAsia="Cambria" w:asciiTheme="minorHAnsi" w:hAnsiTheme="minorHAnsi"/>
          <w:iCs/>
        </w:rPr>
      </w:pPr>
      <w:r>
        <w:rPr>
          <w:rFonts w:eastAsia="Cambria" w:asciiTheme="minorHAnsi" w:hAnsiTheme="minorHAnsi"/>
          <w:iCs/>
        </w:rPr>
        <w:t>Abstrak</w:t>
      </w:r>
    </w:p>
    <w:p>
      <w:pPr>
        <w:spacing w:line="360" w:lineRule="auto"/>
        <w:jc w:val="both"/>
        <w:rPr>
          <w:rFonts w:eastAsia="Book Antiqua" w:asciiTheme="minorHAnsi" w:hAnsiTheme="minorHAnsi"/>
          <w:iCs/>
        </w:rPr>
      </w:pPr>
      <w:r>
        <w:rPr>
          <w:rFonts w:eastAsia="Book Antiqua" w:asciiTheme="minorHAnsi" w:hAnsiTheme="minorHAnsi"/>
          <w:iCs/>
        </w:rPr>
        <w:t xml:space="preserve">Kemajuan teknologi dan informasi membantu masyarakat mengembangkan kemampuannya dalam menghadapi pandemi </w:t>
      </w:r>
      <w:r>
        <w:rPr>
          <w:rFonts w:eastAsia="Book Antiqua" w:asciiTheme="minorHAnsi" w:hAnsiTheme="minorHAnsi"/>
          <w:i/>
        </w:rPr>
        <w:t>Covid-19</w:t>
      </w:r>
      <w:r>
        <w:rPr>
          <w:rFonts w:eastAsia="Book Antiqua" w:asciiTheme="minorHAnsi" w:hAnsiTheme="minorHAnsi"/>
          <w:iCs/>
        </w:rPr>
        <w:t xml:space="preserve"> saat ini. Transformasi digital di dunia pendidikan menjadi pemicu utama motivasi belajar peserta didik dan tenaga pendidik dapat memanfaatkan keterampilan digital mereka untuk berinovasi dalam mengembangkan bahan pembelajaran di sekolah. Jurnal ini menggunakan metode berupa pendekatan kualitatif studi pustaka. Data yang kami kumpulkan didapatkan melalui identifikasi data dengan, membaca, memahami, membahas data, menyajikan serta penarikan kesimpulan mencari dan mengumpulkan sumber dari buku dan jurnal-jurnal yang relevan. Jadi peneliti akan menemukan dan memahami permasalahan yang diambil mengenai bagaimana mengoptimalkan platform digital dengan adanya transformasi kedalam pendidikan Islam berkemajuan. Hasil penelitian ini menunjukkan bahwa transformasi digital sebagai bentuk realisasi pendidikan Islam berkemajuan, memberikan arah baru bagi setiap kehidupan masyarakat untuk dapat menggunakannya dengan sebaik mungkin agar tidak salah guna. Oleh sebab itu,  masyarakat perlu membekali dirinya dengan edukasi. Penggunaan digital yang baik dan mengoptimalkan media platform digital menjadi penting sebagai alternatif  pendidikan untuk mengembangkan pembelajarannya agar menarik, efektif, dan kekinian. </w:t>
      </w:r>
      <w:r>
        <w:rPr>
          <w:rFonts w:eastAsia="Book Antiqua" w:asciiTheme="minorHAnsi" w:hAnsiTheme="minorHAnsi"/>
          <w:i/>
        </w:rPr>
        <w:t>Microsoft Office 365,  Zenius, Zoom, Google for Education, Whatsapp, Smart class</w:t>
      </w:r>
      <w:r>
        <w:rPr>
          <w:rFonts w:eastAsia="Book Antiqua" w:asciiTheme="minorHAnsi" w:hAnsiTheme="minorHAnsi"/>
          <w:iCs/>
        </w:rPr>
        <w:t xml:space="preserve"> merupakan contoh platform yang dapat membantu mengoptimalkam media digital dalam pembaharuan pendidikan Islam berkemajuan.</w:t>
      </w:r>
    </w:p>
    <w:p>
      <w:pPr>
        <w:spacing w:line="360" w:lineRule="auto"/>
        <w:jc w:val="both"/>
        <w:rPr>
          <w:rFonts w:eastAsia="Cambria" w:asciiTheme="minorHAnsi" w:hAnsiTheme="minorHAnsi"/>
          <w:iCs/>
        </w:rPr>
      </w:pPr>
    </w:p>
    <w:p>
      <w:pPr>
        <w:spacing w:line="360" w:lineRule="auto"/>
        <w:jc w:val="both"/>
        <w:rPr>
          <w:rFonts w:eastAsia="Cambria" w:asciiTheme="minorHAnsi" w:hAnsiTheme="minorHAnsi"/>
          <w:iCs/>
        </w:rPr>
      </w:pPr>
      <w:r>
        <w:rPr>
          <w:rFonts w:eastAsia="Cambria" w:asciiTheme="minorHAnsi" w:hAnsiTheme="minorHAnsi"/>
          <w:iCs/>
        </w:rPr>
        <w:t xml:space="preserve">Kata Kunci: </w:t>
      </w:r>
      <w:r>
        <w:rPr>
          <w:rFonts w:eastAsia="Book Antiqua" w:asciiTheme="minorHAnsi" w:hAnsiTheme="minorHAnsi"/>
          <w:i/>
        </w:rPr>
        <w:t>Platform</w:t>
      </w:r>
      <w:r>
        <w:rPr>
          <w:rFonts w:eastAsia="Book Antiqua" w:asciiTheme="minorHAnsi" w:hAnsiTheme="minorHAnsi"/>
          <w:iCs/>
        </w:rPr>
        <w:t xml:space="preserve"> digital; Transformasi; Pendidikan Islam; Berkemajuan.</w:t>
      </w:r>
    </w:p>
    <w:p>
      <w:pPr>
        <w:pStyle w:val="2"/>
        <w:spacing w:before="200" w:line="360" w:lineRule="auto"/>
        <w:ind w:firstLine="0"/>
        <w:rPr>
          <w:rFonts w:eastAsia="Cambria" w:cs="Cambria" w:asciiTheme="minorHAnsi" w:hAnsiTheme="minorHAnsi"/>
          <w:b/>
          <w:i/>
          <w:sz w:val="28"/>
          <w:szCs w:val="28"/>
        </w:rPr>
      </w:pPr>
      <w:r>
        <w:rPr>
          <w:rFonts w:eastAsia="Cambria" w:cs="Cambria" w:asciiTheme="minorHAnsi" w:hAnsiTheme="minorHAnsi"/>
          <w:b/>
          <w:sz w:val="28"/>
          <w:szCs w:val="28"/>
        </w:rPr>
        <w:t>PENDAHULUAN</w:t>
      </w:r>
    </w:p>
    <w:p>
      <w:pPr>
        <w:spacing w:line="360" w:lineRule="auto"/>
        <w:ind w:firstLine="720"/>
        <w:jc w:val="both"/>
        <w:rPr>
          <w:rFonts w:asciiTheme="minorHAnsi" w:hAnsiTheme="minorHAnsi"/>
          <w:sz w:val="24"/>
          <w:szCs w:val="24"/>
        </w:rPr>
      </w:pPr>
      <w:r>
        <w:rPr>
          <w:rFonts w:asciiTheme="minorHAnsi" w:hAnsiTheme="minorHAnsi"/>
          <w:sz w:val="24"/>
          <w:szCs w:val="24"/>
        </w:rPr>
        <w:t xml:space="preserve">Teknologi dapat dipandang sebagai sebuah pendekatan </w:t>
      </w:r>
      <w:r>
        <w:rPr>
          <w:rFonts w:asciiTheme="minorHAnsi" w:hAnsiTheme="minorHAnsi"/>
          <w:i/>
          <w:iCs/>
          <w:sz w:val="24"/>
          <w:szCs w:val="24"/>
        </w:rPr>
        <w:t>pragmatis</w:t>
      </w:r>
      <w:r>
        <w:rPr>
          <w:rFonts w:asciiTheme="minorHAnsi" w:hAnsiTheme="minorHAnsi"/>
          <w:sz w:val="24"/>
          <w:szCs w:val="24"/>
        </w:rPr>
        <w:t xml:space="preserve"> yang dimanfaatkan untuk membantu mengatasi situasi dan krisis di masa pandemi ini. Pandemi telah mendatangkan banyak perubahan di berbagai bidang kehidupan, sehingga menuntut kita semua untuk beradaptasi salah satunya melalui teknologi digital. Dengan meningkatkan keterampilan berteknologi, memungkinkan pemerintah dan bidang pendidikan untuk mengambil langkah pendekatan yang lebih cerdas untuk mengatasi permasalahan di masa pandemi</w:t>
      </w:r>
      <w:r>
        <w:rPr>
          <w:rStyle w:val="10"/>
          <w:rFonts w:asciiTheme="minorHAnsi" w:hAnsiTheme="minorHAnsi"/>
          <w:sz w:val="24"/>
          <w:szCs w:val="24"/>
        </w:rPr>
        <w:footnoteReference w:id="0"/>
      </w:r>
      <w:r>
        <w:rPr>
          <w:rFonts w:asciiTheme="minorHAnsi" w:hAnsiTheme="minorHAnsi"/>
          <w:sz w:val="24"/>
          <w:szCs w:val="24"/>
        </w:rPr>
        <w:t>.</w:t>
      </w:r>
    </w:p>
    <w:p>
      <w:pPr>
        <w:spacing w:line="360" w:lineRule="auto"/>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Pada era ini, sangat penting bagi masyarakat untuk memahami atau mengerti akan penggunaan kemajuan teknologi dan informasi dengan bijak, agar mampu beradaptasi dengan terjadinya transformasi digital. Selama beberapa tahun terakhir, dunia pendidikan mengalami perkembangan pesat karena adanya transformasi digital. Transformasi digital dalam dunia pendidikan mempunyai peluang yang baik sekaligus juga adanya berbagai tantangan tergantung bagaimana sekolah atau sebuah instansi menyikapinya</w:t>
      </w:r>
      <w:r>
        <w:rPr>
          <w:rStyle w:val="10"/>
          <w:rFonts w:asciiTheme="minorHAnsi" w:hAnsiTheme="minorHAnsi"/>
          <w:sz w:val="24"/>
          <w:szCs w:val="24"/>
        </w:rPr>
        <w:footnoteReference w:id="1"/>
      </w:r>
      <w:r>
        <w:rPr>
          <w:rFonts w:asciiTheme="minorHAnsi" w:hAnsiTheme="minorHAnsi"/>
          <w:sz w:val="24"/>
          <w:szCs w:val="24"/>
        </w:rPr>
        <w:t>.</w:t>
      </w:r>
    </w:p>
    <w:p>
      <w:pPr>
        <w:spacing w:line="360" w:lineRule="auto"/>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 xml:space="preserve">Mengingat peran penting teknologi dalam mengatasi krisis pandemi </w:t>
      </w:r>
      <w:r>
        <w:rPr>
          <w:rFonts w:asciiTheme="minorHAnsi" w:hAnsiTheme="minorHAnsi"/>
          <w:i/>
          <w:iCs/>
          <w:sz w:val="24"/>
          <w:szCs w:val="24"/>
        </w:rPr>
        <w:t>COVID-19</w:t>
      </w:r>
      <w:r>
        <w:rPr>
          <w:rFonts w:asciiTheme="minorHAnsi" w:hAnsiTheme="minorHAnsi"/>
          <w:sz w:val="24"/>
          <w:szCs w:val="24"/>
        </w:rPr>
        <w:t xml:space="preserve">, jurnal ini bertujuan untuk mengetahui jenis teknologi yang diaplikasikan dan metode yang diterapkan untuk menangani krisis di masa pandemi dalam dunia pendidikan. Sekolah dan pendidikan harus mengalami transformasi digital secara menyeluruh untuk dapat memenuhi kebutuhan pembelajaran masa depan digital peserta didik. Tenaga pendidik dituntut cerdas dalam memanfaatkan teknologi menjadi </w:t>
      </w:r>
      <w:r>
        <w:rPr>
          <w:rFonts w:eastAsia="Book Antiqua" w:asciiTheme="minorHAnsi" w:hAnsiTheme="minorHAnsi"/>
          <w:sz w:val="24"/>
          <w:szCs w:val="24"/>
        </w:rPr>
        <w:t>media pembelajaran untuk memaparkan ilmu pengetahuan kepada peserta didik dengan bermacam-macam strategi dan metode pembelajaran</w:t>
      </w:r>
      <w:r>
        <w:rPr>
          <w:rStyle w:val="10"/>
          <w:rFonts w:eastAsia="Book Antiqua" w:asciiTheme="minorHAnsi" w:hAnsiTheme="minorHAnsi"/>
          <w:sz w:val="24"/>
          <w:szCs w:val="24"/>
        </w:rPr>
        <w:footnoteReference w:id="2"/>
      </w:r>
      <w:r>
        <w:rPr>
          <w:rFonts w:eastAsia="Book Antiqua" w:asciiTheme="minorHAnsi" w:hAnsiTheme="minorHAnsi"/>
          <w:sz w:val="24"/>
          <w:szCs w:val="24"/>
        </w:rPr>
        <w:t>.</w:t>
      </w:r>
    </w:p>
    <w:p>
      <w:pPr>
        <w:spacing w:line="360" w:lineRule="auto"/>
        <w:jc w:val="both"/>
        <w:rPr>
          <w:rFonts w:eastAsia="Book Antiqua" w:asciiTheme="minorHAnsi" w:hAnsiTheme="minorHAnsi"/>
          <w:sz w:val="24"/>
          <w:szCs w:val="24"/>
        </w:rPr>
      </w:pPr>
      <w:r>
        <w:rPr>
          <w:rFonts w:eastAsia="Book Antiqua" w:asciiTheme="minorHAnsi" w:hAnsiTheme="minorHAnsi"/>
          <w:sz w:val="24"/>
          <w:szCs w:val="24"/>
        </w:rPr>
        <w:tab/>
      </w:r>
      <w:r>
        <w:rPr>
          <w:rFonts w:eastAsia="Book Antiqua" w:asciiTheme="minorHAnsi" w:hAnsiTheme="minorHAnsi"/>
          <w:sz w:val="24"/>
          <w:szCs w:val="24"/>
        </w:rPr>
        <w:t xml:space="preserve">Pada abad ke-21 ini, teknologi digital merupakan kebutuhan penting sebagai dorongan untuk memaksimalkan target belajar peserta didik, sehingga peserta didik mempunyai keahlian dalam belajar berinovasi. Kemahiran dalam penggunaan teknologi digital meringankan akses untuk memperoleh informasi dan mengoptimalkan </w:t>
      </w:r>
      <w:r>
        <w:rPr>
          <w:rFonts w:eastAsia="Book Antiqua" w:asciiTheme="minorHAnsi" w:hAnsiTheme="minorHAnsi"/>
          <w:i/>
          <w:iCs/>
          <w:sz w:val="24"/>
          <w:szCs w:val="24"/>
        </w:rPr>
        <w:t>life skills</w:t>
      </w:r>
      <w:r>
        <w:rPr>
          <w:rFonts w:eastAsia="Book Antiqua" w:asciiTheme="minorHAnsi" w:hAnsiTheme="minorHAnsi"/>
          <w:sz w:val="24"/>
          <w:szCs w:val="24"/>
        </w:rPr>
        <w:t xml:space="preserve"> peserta didik dan pendidik lebih berinovasi dalam mengembangkan bahan ajar</w:t>
      </w:r>
      <w:r>
        <w:rPr>
          <w:rStyle w:val="10"/>
          <w:rFonts w:eastAsia="Book Antiqua" w:asciiTheme="minorHAnsi" w:hAnsiTheme="minorHAnsi"/>
          <w:sz w:val="24"/>
          <w:szCs w:val="24"/>
        </w:rPr>
        <w:footnoteReference w:id="3"/>
      </w:r>
      <w:r>
        <w:rPr>
          <w:rFonts w:eastAsia="Book Antiqua" w:asciiTheme="minorHAnsi" w:hAnsiTheme="minorHAnsi"/>
          <w:sz w:val="24"/>
          <w:szCs w:val="24"/>
        </w:rPr>
        <w:t>.</w:t>
      </w:r>
    </w:p>
    <w:p>
      <w:pPr>
        <w:pStyle w:val="2"/>
        <w:spacing w:before="200" w:line="360" w:lineRule="auto"/>
        <w:ind w:firstLine="0"/>
        <w:rPr>
          <w:rFonts w:eastAsia="Cambria" w:cs="Cambria" w:asciiTheme="minorHAnsi" w:hAnsiTheme="minorHAnsi"/>
          <w:b/>
          <w:sz w:val="28"/>
          <w:szCs w:val="28"/>
        </w:rPr>
      </w:pPr>
      <w:r>
        <w:rPr>
          <w:rFonts w:eastAsia="Cambria" w:cs="Cambria" w:asciiTheme="minorHAnsi" w:hAnsiTheme="minorHAnsi"/>
          <w:b/>
          <w:sz w:val="28"/>
          <w:szCs w:val="28"/>
        </w:rPr>
        <w:t>METODE</w:t>
      </w:r>
    </w:p>
    <w:p>
      <w:pPr>
        <w:spacing w:line="360" w:lineRule="auto"/>
        <w:ind w:firstLine="720"/>
        <w:jc w:val="both"/>
        <w:rPr>
          <w:rFonts w:eastAsia="Book Antiqua" w:asciiTheme="minorHAnsi" w:hAnsiTheme="minorHAnsi"/>
          <w:sz w:val="24"/>
          <w:szCs w:val="24"/>
        </w:rPr>
      </w:pPr>
      <w:r>
        <w:rPr>
          <w:rFonts w:eastAsia="Book Antiqua" w:asciiTheme="minorHAnsi" w:hAnsiTheme="minorHAnsi"/>
          <w:sz w:val="24"/>
          <w:szCs w:val="24"/>
        </w:rPr>
        <w:t xml:space="preserve">Metode yang digunakan yaitu metode kualitatif pendekatan studi pustaka. Untuk itu perlunya mencari dan mengumpulkan berbagai sumber data seperti buku, artikel, jurnal-jurnal relevan sehingga, mencapai hasil yang sesuai dengan tujuan penulisan ini. Peneliti akan menggunakan content analisis sebagai tahapan meliputi membaca, memahami, mengidentifikasi data, pengelompokan data, </w:t>
      </w:r>
      <w:r>
        <w:rPr>
          <w:rFonts w:eastAsia="Book Antiqua" w:asciiTheme="minorHAnsi" w:hAnsiTheme="minorHAnsi"/>
          <w:i/>
          <w:sz w:val="24"/>
          <w:szCs w:val="24"/>
        </w:rPr>
        <w:t>display</w:t>
      </w:r>
      <w:r>
        <w:rPr>
          <w:rFonts w:eastAsia="Book Antiqua" w:asciiTheme="minorHAnsi" w:hAnsiTheme="minorHAnsi"/>
          <w:sz w:val="24"/>
          <w:szCs w:val="24"/>
        </w:rPr>
        <w:t xml:space="preserve"> data serta pengambilan kesimpulan</w:t>
      </w:r>
      <w:r>
        <w:rPr>
          <w:rStyle w:val="10"/>
          <w:rFonts w:eastAsia="Book Antiqua" w:asciiTheme="minorHAnsi" w:hAnsiTheme="minorHAnsi"/>
          <w:sz w:val="24"/>
          <w:szCs w:val="24"/>
        </w:rPr>
        <w:footnoteReference w:id="4"/>
      </w:r>
      <w:r>
        <w:rPr>
          <w:rFonts w:eastAsia="Book Antiqua" w:asciiTheme="minorHAnsi" w:hAnsiTheme="minorHAnsi"/>
          <w:sz w:val="24"/>
          <w:szCs w:val="24"/>
        </w:rPr>
        <w:t xml:space="preserve">. Jadi peneliti akan menemukan dan memahami permasalahan yang diambil mengenai bagaimana mengoptimalkan </w:t>
      </w:r>
      <w:r>
        <w:rPr>
          <w:rFonts w:eastAsia="Book Antiqua" w:asciiTheme="minorHAnsi" w:hAnsiTheme="minorHAnsi"/>
          <w:i/>
          <w:sz w:val="24"/>
          <w:szCs w:val="24"/>
        </w:rPr>
        <w:t>platform</w:t>
      </w:r>
      <w:r>
        <w:rPr>
          <w:rFonts w:eastAsia="Book Antiqua" w:asciiTheme="minorHAnsi" w:hAnsiTheme="minorHAnsi"/>
          <w:sz w:val="24"/>
          <w:szCs w:val="24"/>
        </w:rPr>
        <w:t xml:space="preserve"> digital dengan adanya transformasi kedalam pendidikan Islam berkemajuan</w:t>
      </w:r>
      <w:r>
        <w:rPr>
          <w:rStyle w:val="10"/>
          <w:rFonts w:eastAsia="Book Antiqua" w:asciiTheme="minorHAnsi" w:hAnsiTheme="minorHAnsi"/>
          <w:sz w:val="24"/>
          <w:szCs w:val="24"/>
        </w:rPr>
        <w:footnoteReference w:id="5"/>
      </w:r>
      <w:r>
        <w:rPr>
          <w:rFonts w:eastAsia="Book Antiqua" w:asciiTheme="minorHAnsi" w:hAnsiTheme="minorHAnsi"/>
          <w:sz w:val="24"/>
          <w:szCs w:val="24"/>
        </w:rPr>
        <w:t>.</w:t>
      </w:r>
    </w:p>
    <w:p>
      <w:pPr>
        <w:pStyle w:val="2"/>
        <w:spacing w:before="200" w:line="360" w:lineRule="auto"/>
        <w:ind w:firstLine="0"/>
        <w:rPr>
          <w:rFonts w:eastAsia="Cambria" w:cs="Cambria" w:asciiTheme="minorHAnsi" w:hAnsiTheme="minorHAnsi"/>
          <w:b/>
          <w:sz w:val="28"/>
          <w:szCs w:val="28"/>
        </w:rPr>
      </w:pPr>
      <w:r>
        <w:rPr>
          <w:rFonts w:eastAsia="Cambria" w:cs="Cambria" w:asciiTheme="minorHAnsi" w:hAnsiTheme="minorHAnsi"/>
          <w:b/>
          <w:sz w:val="28"/>
          <w:szCs w:val="28"/>
        </w:rPr>
        <w:t>PEMBAHASAN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160" w:line="360" w:lineRule="auto"/>
        <w:jc w:val="both"/>
        <w:rPr>
          <w:rFonts w:eastAsia="Book Antiqua" w:cs="Book Antiqua" w:asciiTheme="minorHAnsi" w:hAnsiTheme="minorHAnsi"/>
          <w:b/>
          <w:sz w:val="24"/>
          <w:szCs w:val="24"/>
        </w:rPr>
      </w:pPr>
      <w:r>
        <w:rPr>
          <w:rFonts w:eastAsia="Book Antiqua" w:cs="Book Antiqua" w:asciiTheme="minorHAnsi" w:hAnsiTheme="minorHAnsi"/>
          <w:b/>
          <w:sz w:val="24"/>
          <w:szCs w:val="24"/>
        </w:rPr>
        <w:t>Definisi Tranformasi Digital</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720"/>
        <w:jc w:val="both"/>
        <w:rPr>
          <w:rFonts w:eastAsia="Book Antiqua" w:cs="Book Antiqua" w:asciiTheme="minorHAnsi" w:hAnsiTheme="minorHAnsi"/>
          <w:b/>
          <w:sz w:val="24"/>
          <w:szCs w:val="24"/>
        </w:rPr>
      </w:pPr>
      <w:r>
        <w:rPr>
          <w:rFonts w:eastAsia="Book Antiqua" w:cs="Book Antiqua" w:asciiTheme="minorHAnsi" w:hAnsiTheme="minorHAnsi"/>
          <w:sz w:val="24"/>
          <w:szCs w:val="24"/>
        </w:rPr>
        <w:t>Transformasi merupakan peralihan suatu keadaan yang disebut dengan budaya. Jadi, transformasi sama halnya seperti perubahan budaya (Nurgiantoro 2010</w:t>
      </w:r>
      <w:r>
        <w:rPr>
          <w:rFonts w:eastAsia="Book Antiqua" w:cs="Book Antiqua" w:asciiTheme="minorHAnsi" w:hAnsiTheme="minorHAnsi"/>
          <w:color w:val="000000" w:themeColor="text1"/>
          <w:sz w:val="24"/>
          <w:szCs w:val="24"/>
          <w14:textFill>
            <w14:solidFill>
              <w14:schemeClr w14:val="tx1"/>
            </w14:solidFill>
          </w14:textFill>
        </w:rPr>
        <w:t xml:space="preserve">). </w:t>
      </w:r>
      <w:r>
        <w:rPr>
          <w:rFonts w:eastAsia="Book Antiqua" w:cs="Book Antiqua" w:asciiTheme="minorHAnsi" w:hAnsiTheme="minorHAnsi"/>
          <w:sz w:val="24"/>
          <w:szCs w:val="24"/>
        </w:rPr>
        <w:t xml:space="preserve">Sedangkan digital diartikan sebagai sebuah konsep yang didasari dari angka nol dan angka satu yang mendefinisikan antara </w:t>
      </w:r>
      <w:r>
        <w:rPr>
          <w:rFonts w:eastAsia="Book Antiqua" w:cs="Book Antiqua" w:asciiTheme="minorHAnsi" w:hAnsiTheme="minorHAnsi"/>
          <w:i/>
          <w:iCs/>
          <w:sz w:val="24"/>
          <w:szCs w:val="24"/>
        </w:rPr>
        <w:t>on</w:t>
      </w:r>
      <w:r>
        <w:rPr>
          <w:rFonts w:eastAsia="Book Antiqua" w:cs="Book Antiqua" w:asciiTheme="minorHAnsi" w:hAnsiTheme="minorHAnsi"/>
          <w:sz w:val="24"/>
          <w:szCs w:val="24"/>
        </w:rPr>
        <w:t xml:space="preserve"> dan </w:t>
      </w:r>
      <w:r>
        <w:rPr>
          <w:rFonts w:eastAsia="Book Antiqua" w:cs="Book Antiqua" w:asciiTheme="minorHAnsi" w:hAnsiTheme="minorHAnsi"/>
          <w:i/>
          <w:iCs/>
          <w:sz w:val="24"/>
          <w:szCs w:val="24"/>
        </w:rPr>
        <w:t>off</w:t>
      </w:r>
      <w:r>
        <w:rPr>
          <w:rFonts w:eastAsia="Book Antiqua" w:cs="Book Antiqua" w:asciiTheme="minorHAnsi" w:hAnsiTheme="minorHAnsi"/>
          <w:sz w:val="24"/>
          <w:szCs w:val="24"/>
        </w:rPr>
        <w:t>. Proses ini dijabarkan menggunakan logika algoritma. Kemudian media komunikasi internet atau media telekomunikasi dapat disalurkan melalui digital</w:t>
      </w:r>
      <w:r>
        <w:rPr>
          <w:rStyle w:val="10"/>
          <w:rFonts w:eastAsia="Book Antiqua" w:cs="Book Antiqua" w:asciiTheme="minorHAnsi" w:hAnsiTheme="minorHAnsi"/>
          <w:sz w:val="24"/>
          <w:szCs w:val="24"/>
        </w:rPr>
        <w:footnoteReference w:id="6"/>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720"/>
        <w:jc w:val="both"/>
        <w:rPr>
          <w:rFonts w:eastAsia="Book Antiqua" w:cs="Book Antiqua" w:asciiTheme="minorHAnsi" w:hAnsiTheme="minorHAnsi"/>
          <w:b/>
          <w:sz w:val="24"/>
          <w:szCs w:val="24"/>
        </w:rPr>
      </w:pPr>
      <w:r>
        <w:rPr>
          <w:rFonts w:eastAsia="Book Antiqua" w:cs="Book Antiqua" w:asciiTheme="minorHAnsi" w:hAnsiTheme="minorHAnsi"/>
          <w:sz w:val="24"/>
          <w:szCs w:val="24"/>
        </w:rPr>
        <w:t>Jadi pengertian tranformasi digital adalah sebuah proses luar biasa yang berasal dari sumber daya yang dimiliki termasuk kemampuan dalam mengelola proses virtual pada masa itu untuk menciptakan dan mendapatkan pengetahuan baru. Hal ini dapat berwujud sebuah angka baru yang diperoleh konsumen, seperti kemudahan berkomunikasi, bertransaksi, dan lain sebagainya</w:t>
      </w:r>
      <w:r>
        <w:rPr>
          <w:rStyle w:val="10"/>
          <w:rFonts w:eastAsia="Book Antiqua" w:cs="Book Antiqua" w:asciiTheme="minorHAnsi" w:hAnsiTheme="minorHAnsi"/>
          <w:sz w:val="24"/>
          <w:szCs w:val="24"/>
        </w:rPr>
        <w:footnoteReference w:id="7"/>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720"/>
        <w:jc w:val="both"/>
        <w:rPr>
          <w:rFonts w:eastAsia="Book Antiqua" w:cs="Book Antiqua" w:asciiTheme="minorHAnsi" w:hAnsiTheme="minorHAnsi"/>
          <w:b/>
          <w:sz w:val="24"/>
          <w:szCs w:val="24"/>
        </w:rPr>
      </w:pPr>
      <w:r>
        <w:rPr>
          <w:rFonts w:eastAsia="Book Antiqua" w:cs="Book Antiqua" w:asciiTheme="minorHAnsi" w:hAnsiTheme="minorHAnsi"/>
          <w:sz w:val="24"/>
          <w:szCs w:val="24"/>
        </w:rPr>
        <w:t xml:space="preserve">Manfaat tranformasi digital yakni bisa meningkatkan mobilitas perusahaan yang mana  fenomena perkembangan digital didunia memang sangat berdampak. Hal ini terbukti dari banyaknya penggunaan alat-alat digital seperti </w:t>
      </w:r>
      <w:r>
        <w:rPr>
          <w:rFonts w:eastAsia="Book Antiqua" w:cs="Book Antiqua" w:asciiTheme="minorHAnsi" w:hAnsiTheme="minorHAnsi"/>
          <w:i/>
          <w:sz w:val="24"/>
          <w:szCs w:val="24"/>
        </w:rPr>
        <w:t>smarthphone</w:t>
      </w:r>
      <w:r>
        <w:rPr>
          <w:rFonts w:eastAsia="Book Antiqua" w:cs="Book Antiqua" w:asciiTheme="minorHAnsi" w:hAnsiTheme="minorHAnsi"/>
          <w:sz w:val="24"/>
          <w:szCs w:val="24"/>
        </w:rPr>
        <w:t xml:space="preserve">, komputer, tablet, laptop dan sebagainya sebagai media komunikasi. Transformasi digital juga dapat meningkatkan produktivitas karena memungkinkan  memudahkan proses dalam mengakses </w:t>
      </w:r>
      <w:r>
        <w:rPr>
          <w:rFonts w:eastAsia="Book Antiqua" w:cs="Book Antiqua" w:asciiTheme="minorHAnsi" w:hAnsiTheme="minorHAnsi"/>
          <w:i/>
          <w:iCs/>
          <w:sz w:val="24"/>
          <w:szCs w:val="24"/>
        </w:rPr>
        <w:t>tools</w:t>
      </w:r>
      <w:r>
        <w:rPr>
          <w:rFonts w:eastAsia="Book Antiqua" w:cs="Book Antiqua" w:asciiTheme="minorHAnsi" w:hAnsiTheme="minorHAnsi"/>
          <w:sz w:val="24"/>
          <w:szCs w:val="24"/>
        </w:rPr>
        <w:t xml:space="preserve"> yang sudah di sediakan sehingga </w:t>
      </w:r>
      <w:r>
        <w:rPr>
          <w:rFonts w:eastAsia="Book Antiqua" w:cs="Book Antiqua" w:asciiTheme="minorHAnsi" w:hAnsiTheme="minorHAnsi"/>
          <w:color w:val="000000"/>
          <w:sz w:val="24"/>
          <w:szCs w:val="24"/>
        </w:rPr>
        <w:t>kita bisa lebih mudah dalam mengaksesnya</w:t>
      </w:r>
      <w:r>
        <w:rPr>
          <w:rStyle w:val="10"/>
          <w:rFonts w:eastAsia="Book Antiqua" w:cs="Book Antiqua" w:asciiTheme="minorHAnsi" w:hAnsiTheme="minorHAnsi"/>
          <w:color w:val="000000"/>
          <w:sz w:val="24"/>
          <w:szCs w:val="24"/>
        </w:rPr>
        <w:footnoteReference w:id="8"/>
      </w:r>
      <w:r>
        <w:rPr>
          <w:rFonts w:eastAsia="Book Antiqua" w:cs="Book Antiqua" w:asciiTheme="minorHAnsi" w:hAnsiTheme="minorHAnsi"/>
          <w:color w:val="000000"/>
          <w:sz w:val="24"/>
          <w:szCs w:val="24"/>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160" w:line="360" w:lineRule="auto"/>
        <w:jc w:val="both"/>
        <w:rPr>
          <w:rFonts w:eastAsia="Book Antiqua" w:cs="Book Antiqua" w:asciiTheme="minorHAnsi" w:hAnsiTheme="minorHAnsi"/>
          <w:b/>
          <w:color w:val="000000"/>
          <w:sz w:val="24"/>
          <w:szCs w:val="24"/>
        </w:rPr>
      </w:pPr>
      <w:r>
        <w:rPr>
          <w:rFonts w:eastAsia="Book Antiqua" w:cs="Book Antiqua" w:asciiTheme="minorHAnsi" w:hAnsiTheme="minorHAnsi"/>
          <w:b/>
          <w:color w:val="000000"/>
          <w:sz w:val="24"/>
          <w:szCs w:val="24"/>
        </w:rPr>
        <w:t>Definisi dan Tujuan Pendidikan Islam</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asciiTheme="minorHAnsi" w:hAnsiTheme="minorHAnsi"/>
          <w:sz w:val="24"/>
          <w:szCs w:val="24"/>
        </w:rPr>
        <w:t>Pendidikan berasal dari gabungan kata “didik”, dengan dibubuhi awalan “pe” dan akhiran “an” yang kemudian memiliki arti “proses peralihan perilaku dan sikap individu atau kelompok orang dalam tindakan untuk mematangkan pemikiran manusia dengan cara dilatih, dididik serta usaha belajar dan mengajar”. Muhibbin Syah (2002) mengemukakan pendapatnya tentang pengertian pendidikan yaitu sebuah proses memberikan pelatihan dan memelihara. Dalam memberi pelatihan dan pemeliharaan diperlukan adanya bimbingan dan arahan serta kepemimpinan tentang akhlak dan akal yang cerdas</w:t>
      </w:r>
      <w:r>
        <w:rPr>
          <w:rStyle w:val="10"/>
          <w:rFonts w:asciiTheme="minorHAnsi" w:hAnsiTheme="minorHAnsi"/>
          <w:sz w:val="24"/>
          <w:szCs w:val="24"/>
        </w:rPr>
        <w:footnoteReference w:id="9"/>
      </w:r>
      <w:r>
        <w:rPr>
          <w:rFonts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asciiTheme="minorHAnsi" w:hAnsiTheme="minorHAnsi"/>
          <w:sz w:val="24"/>
          <w:szCs w:val="24"/>
        </w:rPr>
        <w:t>Sedangkan di dalam bahasa Inggris, pendidikan berasal dari kata “</w:t>
      </w:r>
      <w:r>
        <w:rPr>
          <w:rFonts w:asciiTheme="minorHAnsi" w:hAnsiTheme="minorHAnsi"/>
          <w:i/>
          <w:sz w:val="24"/>
          <w:szCs w:val="24"/>
        </w:rPr>
        <w:t>educate</w:t>
      </w:r>
      <w:r>
        <w:rPr>
          <w:rFonts w:asciiTheme="minorHAnsi" w:hAnsiTheme="minorHAnsi"/>
          <w:sz w:val="24"/>
          <w:szCs w:val="24"/>
        </w:rPr>
        <w:t xml:space="preserve">” (mendidik) atau </w:t>
      </w:r>
      <w:r>
        <w:rPr>
          <w:rFonts w:asciiTheme="minorHAnsi" w:hAnsiTheme="minorHAnsi"/>
          <w:i/>
          <w:sz w:val="24"/>
          <w:szCs w:val="24"/>
        </w:rPr>
        <w:t xml:space="preserve">to give, to elicit, rise to </w:t>
      </w:r>
      <w:r>
        <w:rPr>
          <w:rFonts w:asciiTheme="minorHAnsi" w:hAnsiTheme="minorHAnsi"/>
          <w:sz w:val="24"/>
          <w:szCs w:val="24"/>
        </w:rPr>
        <w:t xml:space="preserve">(memberi peringatan), juga </w:t>
      </w:r>
      <w:r>
        <w:rPr>
          <w:rFonts w:asciiTheme="minorHAnsi" w:hAnsiTheme="minorHAnsi"/>
          <w:i/>
          <w:sz w:val="24"/>
          <w:szCs w:val="24"/>
        </w:rPr>
        <w:t xml:space="preserve">to develop </w:t>
      </w:r>
      <w:r>
        <w:rPr>
          <w:rFonts w:asciiTheme="minorHAnsi" w:hAnsiTheme="minorHAnsi"/>
          <w:sz w:val="24"/>
          <w:szCs w:val="24"/>
        </w:rPr>
        <w:t>dan</w:t>
      </w:r>
      <w:r>
        <w:rPr>
          <w:rFonts w:asciiTheme="minorHAnsi" w:hAnsiTheme="minorHAnsi"/>
          <w:i/>
          <w:sz w:val="24"/>
          <w:szCs w:val="24"/>
        </w:rPr>
        <w:t xml:space="preserve"> to evolve </w:t>
      </w:r>
      <w:r>
        <w:rPr>
          <w:rFonts w:asciiTheme="minorHAnsi" w:hAnsiTheme="minorHAnsi"/>
          <w:sz w:val="24"/>
          <w:szCs w:val="24"/>
        </w:rPr>
        <w:t>yang berarti</w:t>
      </w:r>
      <w:r>
        <w:rPr>
          <w:rFonts w:asciiTheme="minorHAnsi" w:hAnsiTheme="minorHAnsi"/>
          <w:i/>
          <w:sz w:val="24"/>
          <w:szCs w:val="24"/>
        </w:rPr>
        <w:t xml:space="preserve"> </w:t>
      </w:r>
      <w:r>
        <w:rPr>
          <w:rFonts w:asciiTheme="minorHAnsi" w:hAnsiTheme="minorHAnsi"/>
          <w:sz w:val="24"/>
          <w:szCs w:val="24"/>
        </w:rPr>
        <w:t xml:space="preserve">mengembangkan. Dalam artian </w:t>
      </w:r>
      <w:r>
        <w:rPr>
          <w:rFonts w:asciiTheme="minorHAnsi" w:hAnsiTheme="minorHAnsi"/>
          <w:i/>
          <w:sz w:val="24"/>
          <w:szCs w:val="24"/>
        </w:rPr>
        <w:t>education</w:t>
      </w:r>
      <w:r>
        <w:rPr>
          <w:rFonts w:asciiTheme="minorHAnsi" w:hAnsiTheme="minorHAnsi"/>
          <w:sz w:val="24"/>
          <w:szCs w:val="24"/>
        </w:rPr>
        <w:t xml:space="preserve"> (pendidikan) merupakan suatu proses dari perbuatan untuk memperoleh pengalaman dan pengetahuan</w:t>
      </w:r>
      <w:r>
        <w:rPr>
          <w:rStyle w:val="10"/>
          <w:rFonts w:asciiTheme="minorHAnsi" w:hAnsiTheme="minorHAnsi"/>
          <w:sz w:val="24"/>
          <w:szCs w:val="24"/>
        </w:rPr>
        <w:footnoteReference w:id="10"/>
      </w:r>
      <w:r>
        <w:rPr>
          <w:rFonts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Ada </w:t>
      </w:r>
      <w:r>
        <w:rPr>
          <w:rFonts w:asciiTheme="minorHAnsi" w:hAnsiTheme="minorHAnsi"/>
          <w:sz w:val="24"/>
          <w:szCs w:val="24"/>
        </w:rPr>
        <w:t>dari sebagian pendapat tentang artian pendidikan Islam, yaitu pendidikan Islam merupakan pendidikan manusia yang seutuhnya, melalui rohani, akal, jasmani, akhlak dan keterampilan</w:t>
      </w:r>
      <w:r>
        <w:rPr>
          <w:rStyle w:val="10"/>
          <w:rFonts w:asciiTheme="minorHAnsi" w:hAnsiTheme="minorHAnsi"/>
          <w:sz w:val="24"/>
          <w:szCs w:val="24"/>
        </w:rPr>
        <w:footnoteReference w:id="11"/>
      </w:r>
      <w:r>
        <w:rPr>
          <w:rFonts w:asciiTheme="minorHAnsi" w:hAnsiTheme="minorHAnsi"/>
          <w:sz w:val="24"/>
          <w:szCs w:val="24"/>
        </w:rPr>
        <w:t>. Oleh sebab itu, maka pendidikan Islam mempersiapkan sosok insan demi kehidupan yang lebih baik, hidup dalam kedamaian meskipun dalam konflik, serta mempersiapkan mereka dalam menghadapi berbagai jenis masyarakat dengan segala kemungkinan, baik dan jahatnya, serta manis dan pahitnya.</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Menurut </w:t>
      </w:r>
      <w:r>
        <w:rPr>
          <w:rFonts w:asciiTheme="minorHAnsi" w:hAnsiTheme="minorHAnsi"/>
          <w:sz w:val="24"/>
          <w:szCs w:val="24"/>
        </w:rPr>
        <w:t>Abdul Munir Mulkhan</w:t>
      </w:r>
      <w:r>
        <w:rPr>
          <w:rStyle w:val="10"/>
          <w:rFonts w:asciiTheme="minorHAnsi" w:hAnsiTheme="minorHAnsi"/>
          <w:sz w:val="24"/>
          <w:szCs w:val="24"/>
        </w:rPr>
        <w:footnoteReference w:id="12"/>
      </w:r>
      <w:r>
        <w:rPr>
          <w:rFonts w:asciiTheme="minorHAnsi" w:hAnsiTheme="minorHAnsi"/>
          <w:sz w:val="24"/>
          <w:szCs w:val="24"/>
        </w:rPr>
        <w:t>, menjelaskan bahwa pendidikan islam adalah aktivitas manusia, memberikan maupun menghasilkan kesempatan agar mengaktualisasikan potensi pikiran ke dalam pikiran yang sebenarnya, atau memperoleh pengetahuan baru. Sedangkan menurut Hasan Langgulung</w:t>
      </w:r>
      <w:r>
        <w:rPr>
          <w:rStyle w:val="10"/>
          <w:rFonts w:asciiTheme="minorHAnsi" w:hAnsiTheme="minorHAnsi"/>
          <w:sz w:val="24"/>
          <w:szCs w:val="24"/>
        </w:rPr>
        <w:footnoteReference w:id="13"/>
      </w:r>
      <w:r>
        <w:rPr>
          <w:rFonts w:asciiTheme="minorHAnsi" w:hAnsiTheme="minorHAnsi"/>
          <w:sz w:val="24"/>
          <w:szCs w:val="24"/>
        </w:rPr>
        <w:t xml:space="preserve"> mendefinisikan pendidikan Islam sebagai sebuah proses untuk mempersiapkan generasi penerus sebagai pengisi peran, mentransfer nilai-nilai dan ilmu Islam yang disandingkan sebagai tanggung jawab kemanusiaan, untuk melakukan kebaikan dan menuai kebaikannya di dunia. Selanjutnya manusia di dalam ajaran islam yang diwahyukan oleh Allah SWT terhadap Nabi Muhammad SAW melalui Al-Qur’an yang berisi proses dimana manusia diciptakan untuk menuju derajat yang paling tinggi dalam menjalankan tanggung jawabnya sebagai hamba Allah di bumi.</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asciiTheme="minorHAnsi" w:hAnsiTheme="minorHAnsi"/>
          <w:sz w:val="24"/>
          <w:szCs w:val="24"/>
        </w:rPr>
        <w:t>Pernyataan tersebut sama seperti yang dikemukakan oleh Ahmad D. Marimba</w:t>
      </w:r>
      <w:r>
        <w:rPr>
          <w:rStyle w:val="10"/>
          <w:rFonts w:asciiTheme="minorHAnsi" w:hAnsiTheme="minorHAnsi"/>
          <w:sz w:val="24"/>
          <w:szCs w:val="24"/>
        </w:rPr>
        <w:footnoteReference w:id="14"/>
      </w:r>
      <w:r>
        <w:rPr>
          <w:rFonts w:asciiTheme="minorHAnsi" w:hAnsiTheme="minorHAnsi"/>
          <w:sz w:val="24"/>
          <w:szCs w:val="24"/>
        </w:rPr>
        <w:t>, bahwasanya pengertian pendidikan Islam merupakan suatu arahan dalam bentuk rohani dan jasmani untuk membentuk perilaku baik sesuai standar Islam. Dari beberapa pengertian pendidikan Islam diatas masih bersifat umum dan global, secara teknis Endang Saifudin Anshari memaparkan bahwa pendidikan Islam yaitu suatu proses arahan (bimbingan, kepemimpinan, tuntutan, usul) dari peserta didik untuk perkembangan mental (akal, kehendak, rasa, intuisi, tubuh, dll). Sasaran pembelajaran menggunakan materi khusus dan peralatan seadanya menuju pembentukan kepribadian tertentu yang disertai evaluasi sesuai dengan tuntunan ajaran Islam.</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asciiTheme="minorHAnsi" w:hAnsiTheme="minorHAnsi"/>
          <w:sz w:val="24"/>
          <w:szCs w:val="24"/>
        </w:rPr>
        <w:t>Akan tetapi secara umum pengertian pendidikan Islam ialah sebuah sistem pendidikan yang meliputi seluruh aspek kehidupan yg dibutuhkan oleh manusia, karena Islam merupakan panduan lengkap seluruh aspek kehidupan manusia, baik kehidupan di dunia maupun di akhirat</w:t>
      </w:r>
      <w:r>
        <w:rPr>
          <w:rFonts w:eastAsia="Book Antiqua" w:cs="Book Antiqua" w:asciiTheme="minorHAnsi" w:hAnsiTheme="minorHAnsi"/>
          <w:sz w:val="24"/>
          <w:szCs w:val="24"/>
        </w:rPr>
        <w:t xml:space="preserve">. Tujuan pendidikan menjadi faktor yang </w:t>
      </w:r>
      <w:r>
        <w:rPr>
          <w:rFonts w:eastAsia="Book Antiqua" w:cs="Book Antiqua" w:asciiTheme="minorHAnsi" w:hAnsiTheme="minorHAnsi"/>
          <w:i/>
          <w:iCs/>
          <w:sz w:val="24"/>
          <w:szCs w:val="24"/>
        </w:rPr>
        <w:t>krusial</w:t>
      </w:r>
      <w:r>
        <w:rPr>
          <w:rFonts w:eastAsia="Book Antiqua" w:cs="Book Antiqua" w:asciiTheme="minorHAnsi" w:hAnsiTheme="minorHAnsi"/>
          <w:sz w:val="24"/>
          <w:szCs w:val="24"/>
        </w:rPr>
        <w:t xml:space="preserve"> karena berdasarkan pada arah yang akan dituju bagi pendidikan tersebut. Seperti halnya pada pendidikan agama, capaian tujuannya terletak pada pelaksanaan kegiatan pendidikan agama.</w:t>
      </w:r>
      <w:r>
        <w:rPr>
          <w:rFonts w:eastAsia="Roboto" w:cs="Roboto" w:asciiTheme="minorHAnsi" w:hAnsiTheme="minorHAnsi"/>
          <w:sz w:val="24"/>
          <w:szCs w:val="24"/>
          <w:highlight w:val="white"/>
        </w:rPr>
        <w:t xml:space="preserve"> </w:t>
      </w:r>
      <w:r>
        <w:rPr>
          <w:rFonts w:eastAsia="Roboto" w:cs="Roboto" w:asciiTheme="minorHAnsi" w:hAnsiTheme="minorHAnsi"/>
          <w:sz w:val="24"/>
          <w:szCs w:val="24"/>
        </w:rPr>
        <w:t xml:space="preserve"> </w:t>
      </w:r>
      <w:r>
        <w:rPr>
          <w:rFonts w:eastAsia="Book Antiqua" w:cs="Book Antiqua" w:asciiTheme="minorHAnsi" w:hAnsiTheme="minorHAnsi"/>
          <w:sz w:val="24"/>
          <w:szCs w:val="24"/>
        </w:rPr>
        <w:t>Sedangkan untuk tujuan pendidikan nasional yaitu tujuan umum yang merupakan rumusan dari kemampuan terciptanya setiap warga negara yang dicita-citakan bersama. Rumusan resmi tentang tujuan pendidikan nasional tercantum di dalam Undang-Undang Pendidikan dan Pengajaran No. 12 tahun 1945 Bab II pasal 3 yang berbunyi: “Tujuan pendidikan dan pengajaran ialah membentuk manusia susila yang cakap dan warga negara yang demokratis, yang bertanggung jawab tentang kesejahteraan masyarakat dan tanah air”</w:t>
      </w:r>
      <w:r>
        <w:rPr>
          <w:rStyle w:val="10"/>
          <w:rFonts w:eastAsia="Book Antiqua" w:cs="Book Antiqua" w:asciiTheme="minorHAnsi" w:hAnsiTheme="minorHAnsi"/>
          <w:sz w:val="24"/>
          <w:szCs w:val="24"/>
        </w:rPr>
        <w:footnoteReference w:id="15"/>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Undang-Undang SISDIKNAS No. 20 Tahun 2003 bab I perihal aturan awam menjelaskan, maka pendidikan ialah upaya sadar serta terpola untuk proses pembelajaran dan menciptakan suasana belajar supaya siswa aktif mengembangkan potensi dirinya dalam keterampilan, kecerdasan, kepribadian, akhlak mulia, pengendalian diri, dan keagamaan. Pendidikan nasional dalam Undang-Undang tersebut didefinisikan menjadi pendidikan yang relevan dengan Undang-Undang Negara Republik Indonesia Tahun 1945 dan Pancasila yang bersumber pada kebudayaan nasional, nilai agama, serta responsif terhadap tuntutan perubahan zaman. Sistem pendidikan nasional merupakan kesatuan unsur-unsur pendidikan yang berkaitan secara terstruktur yang bertujuan menggapai tujuan pendidikan nasional</w:t>
      </w:r>
      <w:r>
        <w:rPr>
          <w:rStyle w:val="10"/>
          <w:rFonts w:eastAsia="Book Antiqua" w:cs="Book Antiqua" w:asciiTheme="minorHAnsi" w:hAnsiTheme="minorHAnsi"/>
          <w:sz w:val="24"/>
          <w:szCs w:val="24"/>
        </w:rPr>
        <w:footnoteReference w:id="16"/>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Lumrah halnya apabila pendidikan nasional didasarkan sepenuhnya pada nilai-nilai pemahaman, karena negara Indonesia merupakan negara yang religius. Kepercayaan kepada masyarakat Indonesia merupakan modal dasar yang menggerakkan pola hidup bangsa. Iman mengatur manusia dalam menggunakan kekuasaan, alam dan bagaimana cara mengontrol diri sendiri. Dengan demikian akan terjalin keseimbangan kehidupan manusia, dalam kehidupan individu maupun kehidupan bermasyarakat</w:t>
      </w:r>
      <w:r>
        <w:rPr>
          <w:rStyle w:val="10"/>
          <w:rFonts w:eastAsia="Book Antiqua" w:cs="Book Antiqua" w:asciiTheme="minorHAnsi" w:hAnsiTheme="minorHAnsi"/>
          <w:sz w:val="24"/>
          <w:szCs w:val="24"/>
        </w:rPr>
        <w:footnoteReference w:id="17"/>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Pada umumnya, konsep pendidikan Islam merujuk kepada makna dari istilah pendidikan dalam kaitannya dengan ajaran Islam. Terdapat 3 istilah umum yang digunakan dalam pendidikan Islam, yaitu </w:t>
      </w:r>
      <w:r>
        <w:rPr>
          <w:rFonts w:eastAsia="Book Antiqua" w:cs="Book Antiqua" w:asciiTheme="minorHAnsi" w:hAnsiTheme="minorHAnsi"/>
          <w:i/>
          <w:sz w:val="24"/>
          <w:szCs w:val="24"/>
        </w:rPr>
        <w:t xml:space="preserve">al-Ta’dib, al-Ta’lim, </w:t>
      </w:r>
      <w:r>
        <w:rPr>
          <w:rFonts w:eastAsia="Book Antiqua" w:cs="Book Antiqua" w:asciiTheme="minorHAnsi" w:hAnsiTheme="minorHAnsi"/>
          <w:sz w:val="24"/>
          <w:szCs w:val="24"/>
        </w:rPr>
        <w:t>dan</w:t>
      </w:r>
      <w:r>
        <w:rPr>
          <w:rFonts w:eastAsia="Book Antiqua" w:cs="Book Antiqua" w:asciiTheme="minorHAnsi" w:hAnsiTheme="minorHAnsi"/>
          <w:i/>
          <w:sz w:val="24"/>
          <w:szCs w:val="24"/>
        </w:rPr>
        <w:t xml:space="preserve"> al-Tarbiyat</w:t>
      </w:r>
      <w:r>
        <w:rPr>
          <w:rFonts w:eastAsia="Book Antiqua" w:cs="Book Antiqua" w:asciiTheme="minorHAnsi" w:hAnsiTheme="minorHAnsi"/>
          <w:sz w:val="24"/>
          <w:szCs w:val="24"/>
        </w:rPr>
        <w:t xml:space="preserve">. </w:t>
      </w:r>
      <w:r>
        <w:rPr>
          <w:rFonts w:eastAsia="Book Antiqua" w:cs="Book Antiqua" w:asciiTheme="minorHAnsi" w:hAnsiTheme="minorHAnsi"/>
          <w:i/>
          <w:sz w:val="24"/>
          <w:szCs w:val="24"/>
        </w:rPr>
        <w:t>Tarbiyat</w:t>
      </w:r>
      <w:r>
        <w:rPr>
          <w:rFonts w:eastAsia="Book Antiqua" w:cs="Book Antiqua" w:asciiTheme="minorHAnsi" w:hAnsiTheme="minorHAnsi"/>
          <w:sz w:val="24"/>
          <w:szCs w:val="24"/>
        </w:rPr>
        <w:t xml:space="preserve"> bermakna merawat, mendidik dan mengajari. Dari makna inilah, maka tarbiyah dapat diartikan menjadi proses pengarahan terhadap potensi dan kemampuan insan dengan maksimal supaya menjadi bekal persiapan menjalani kehidupan di masa yang akan datang</w:t>
      </w:r>
      <w:r>
        <w:rPr>
          <w:rStyle w:val="10"/>
          <w:rFonts w:eastAsia="Book Antiqua" w:cs="Book Antiqua" w:asciiTheme="minorHAnsi" w:hAnsiTheme="minorHAnsi"/>
          <w:sz w:val="24"/>
          <w:szCs w:val="24"/>
        </w:rPr>
        <w:footnoteReference w:id="18"/>
      </w:r>
      <w:r>
        <w:rPr>
          <w:rFonts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Pendidikan Islam memang pada umumnya diarahkan pada upaya membimbing serta mengelola berbagai kemampuan fitrah manusia sehingga dapat memaksimalkan peran diri menjadi makhluk Allah yang taat, akan tetapi pada kenyataannya manusia sebagai makhluk individu mempunyai kapasitas kemampuan yang berbeda-beda. Selain itu, manusia juga merupakan makhluk sosial yang mempunyai cara masing-masing dalam menghadapi lingkungan</w:t>
      </w:r>
      <w:r>
        <w:rPr>
          <w:rStyle w:val="10"/>
          <w:rFonts w:eastAsia="Book Antiqua" w:cs="Book Antiqua" w:asciiTheme="minorHAnsi" w:hAnsiTheme="minorHAnsi"/>
          <w:sz w:val="24"/>
          <w:szCs w:val="24"/>
        </w:rPr>
        <w:footnoteReference w:id="19"/>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after="160" w:line="360" w:lineRule="auto"/>
        <w:ind w:left="720" w:firstLine="36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Dalam pendapat </w:t>
      </w:r>
      <w:r>
        <w:rPr>
          <w:rFonts w:asciiTheme="minorHAnsi" w:hAnsiTheme="minorHAnsi"/>
          <w:sz w:val="24"/>
          <w:szCs w:val="24"/>
        </w:rPr>
        <w:t>Samsul Nizar (2001) tujuan pendidikan Islam merujuk pada QS 51:56, yakni menciptakan manusia sebagai makhluk yang mengabdi kepada Tuhan-Nya, untuk mengelola alam semesta dan membangun dunia sesuai dengan ajaran yang sudah ditetapkan oleh Allah SWT. Tahapan tujuan pendidikan Islam dikelompokkan menjadi tiga tahapan</w:t>
      </w:r>
      <w:r>
        <w:rPr>
          <w:rStyle w:val="10"/>
          <w:rFonts w:asciiTheme="minorHAnsi" w:hAnsiTheme="minorHAnsi"/>
          <w:sz w:val="24"/>
          <w:szCs w:val="24"/>
        </w:rPr>
        <w:footnoteReference w:id="20"/>
      </w:r>
      <w:r>
        <w:rPr>
          <w:rFonts w:asciiTheme="minorHAnsi" w:hAnsiTheme="minorHAnsi"/>
          <w:sz w:val="24"/>
          <w:szCs w:val="24"/>
        </w:rPr>
        <w:t>, yaitu:</w:t>
      </w:r>
    </w:p>
    <w:p>
      <w:pPr>
        <w:pStyle w:val="18"/>
        <w:numPr>
          <w:ilvl w:val="1"/>
          <w:numId w:val="1"/>
        </w:numPr>
        <w:spacing w:line="360" w:lineRule="auto"/>
        <w:jc w:val="both"/>
        <w:rPr>
          <w:rFonts w:asciiTheme="minorHAnsi" w:hAnsiTheme="minorHAnsi"/>
          <w:sz w:val="24"/>
          <w:szCs w:val="24"/>
        </w:rPr>
      </w:pPr>
      <w:r>
        <w:rPr>
          <w:rFonts w:asciiTheme="minorHAnsi" w:hAnsiTheme="minorHAnsi"/>
          <w:sz w:val="24"/>
          <w:szCs w:val="24"/>
        </w:rPr>
        <w:t>Tujuan Tertinggi</w:t>
      </w:r>
    </w:p>
    <w:p>
      <w:pPr>
        <w:spacing w:line="360" w:lineRule="auto"/>
        <w:ind w:left="1440" w:firstLine="720"/>
        <w:jc w:val="both"/>
        <w:rPr>
          <w:rFonts w:asciiTheme="minorHAnsi" w:hAnsiTheme="minorHAnsi"/>
          <w:sz w:val="24"/>
          <w:szCs w:val="24"/>
        </w:rPr>
      </w:pPr>
      <w:r>
        <w:rPr>
          <w:rFonts w:asciiTheme="minorHAnsi" w:hAnsiTheme="minorHAnsi"/>
          <w:sz w:val="24"/>
          <w:szCs w:val="24"/>
        </w:rPr>
        <w:t xml:space="preserve">Berlaku untuk umat Islam secara menyeluruh tanpa dibatasi wilayah geografis, dan ideologi yang dianut negaranya, bersifat mutlak dan tidak berubah. Tujuan ini merupakan makna akhir dari keberadaan manusia sebagai sebagai </w:t>
      </w:r>
      <w:r>
        <w:rPr>
          <w:rFonts w:asciiTheme="minorHAnsi" w:hAnsiTheme="minorHAnsi"/>
          <w:i/>
          <w:sz w:val="24"/>
          <w:szCs w:val="24"/>
        </w:rPr>
        <w:t>abd’</w:t>
      </w:r>
      <w:r>
        <w:rPr>
          <w:rFonts w:asciiTheme="minorHAnsi" w:hAnsiTheme="minorHAnsi"/>
          <w:sz w:val="24"/>
          <w:szCs w:val="24"/>
        </w:rPr>
        <w:t xml:space="preserve"> dan </w:t>
      </w:r>
      <w:r>
        <w:rPr>
          <w:rFonts w:asciiTheme="minorHAnsi" w:hAnsiTheme="minorHAnsi"/>
          <w:i/>
          <w:sz w:val="24"/>
          <w:szCs w:val="24"/>
        </w:rPr>
        <w:t>khalifah Fi al- ardh</w:t>
      </w:r>
      <w:r>
        <w:rPr>
          <w:rStyle w:val="10"/>
          <w:rFonts w:asciiTheme="minorHAnsi" w:hAnsiTheme="minorHAnsi"/>
          <w:i/>
          <w:sz w:val="24"/>
          <w:szCs w:val="24"/>
        </w:rPr>
        <w:footnoteReference w:id="21"/>
      </w:r>
      <w:r>
        <w:rPr>
          <w:rFonts w:asciiTheme="minorHAnsi" w:hAnsiTheme="minorHAnsi"/>
          <w:iCs/>
          <w:sz w:val="24"/>
          <w:szCs w:val="24"/>
        </w:rPr>
        <w:t>.</w:t>
      </w:r>
    </w:p>
    <w:p>
      <w:pPr>
        <w:pStyle w:val="18"/>
        <w:numPr>
          <w:ilvl w:val="1"/>
          <w:numId w:val="1"/>
        </w:numPr>
        <w:spacing w:line="360" w:lineRule="auto"/>
        <w:jc w:val="both"/>
        <w:rPr>
          <w:rFonts w:asciiTheme="minorHAnsi" w:hAnsiTheme="minorHAnsi"/>
          <w:sz w:val="24"/>
          <w:szCs w:val="24"/>
        </w:rPr>
      </w:pPr>
      <w:r>
        <w:rPr>
          <w:rFonts w:asciiTheme="minorHAnsi" w:hAnsiTheme="minorHAnsi"/>
          <w:sz w:val="24"/>
          <w:szCs w:val="24"/>
        </w:rPr>
        <w:t>Tujuan Umum</w:t>
      </w:r>
    </w:p>
    <w:p>
      <w:pPr>
        <w:pBdr>
          <w:top w:val="none" w:color="auto" w:sz="0" w:space="0"/>
          <w:left w:val="none" w:color="auto" w:sz="0" w:space="0"/>
          <w:bottom w:val="none" w:color="auto" w:sz="0" w:space="0"/>
          <w:right w:val="none" w:color="auto" w:sz="0" w:space="0"/>
          <w:between w:val="none" w:color="auto" w:sz="0" w:space="0"/>
        </w:pBdr>
        <w:spacing w:line="360" w:lineRule="auto"/>
        <w:ind w:left="1440" w:firstLine="720"/>
        <w:jc w:val="both"/>
        <w:rPr>
          <w:rFonts w:asciiTheme="minorHAnsi" w:hAnsiTheme="minorHAnsi"/>
          <w:sz w:val="24"/>
          <w:szCs w:val="24"/>
        </w:rPr>
      </w:pPr>
      <w:r>
        <w:rPr>
          <w:rFonts w:asciiTheme="minorHAnsi" w:hAnsiTheme="minorHAnsi"/>
          <w:sz w:val="24"/>
          <w:szCs w:val="24"/>
        </w:rPr>
        <w:t>Secara teoritis, dalam praktek pendidikan Islam tujuan umum merupakan suatu sistem yang berkelanjutan sepanjang hayat. Nabi SAW bersabda yang artinya tuntutlah ilmu semenjak dalam buaian hingga sampai ke liang lahat. Nah, disinilah terbentuknya prinsip pendidikan sepanjang hayat atau seumur hidup</w:t>
      </w:r>
      <w:r>
        <w:rPr>
          <w:rStyle w:val="10"/>
          <w:rFonts w:asciiTheme="minorHAnsi" w:hAnsiTheme="minorHAnsi"/>
          <w:sz w:val="24"/>
          <w:szCs w:val="24"/>
        </w:rPr>
        <w:footnoteReference w:id="22"/>
      </w:r>
      <w:r>
        <w:rPr>
          <w:rFonts w:asciiTheme="minorHAnsi" w:hAnsiTheme="minorHAnsi"/>
          <w:iCs/>
          <w:sz w:val="24"/>
          <w:szCs w:val="24"/>
        </w:rPr>
        <w:t>.</w:t>
      </w:r>
    </w:p>
    <w:p>
      <w:pPr>
        <w:pStyle w:val="18"/>
        <w:numPr>
          <w:ilvl w:val="1"/>
          <w:numId w:val="1"/>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sz w:val="24"/>
          <w:szCs w:val="24"/>
        </w:rPr>
      </w:pPr>
      <w:r>
        <w:rPr>
          <w:rFonts w:asciiTheme="minorHAnsi" w:hAnsiTheme="minorHAnsi"/>
          <w:sz w:val="24"/>
          <w:szCs w:val="24"/>
        </w:rPr>
        <w:t>Tujuan Khusus</w:t>
      </w:r>
    </w:p>
    <w:p>
      <w:pPr>
        <w:pBdr>
          <w:top w:val="none" w:color="auto" w:sz="0" w:space="0"/>
          <w:left w:val="none" w:color="auto" w:sz="0" w:space="0"/>
          <w:bottom w:val="none" w:color="auto" w:sz="0" w:space="0"/>
          <w:right w:val="none" w:color="auto" w:sz="0" w:space="0"/>
          <w:between w:val="none" w:color="auto" w:sz="0" w:space="0"/>
        </w:pBdr>
        <w:spacing w:line="360" w:lineRule="auto"/>
        <w:ind w:left="1440" w:firstLine="720"/>
        <w:jc w:val="both"/>
        <w:rPr>
          <w:rFonts w:asciiTheme="minorHAnsi" w:hAnsiTheme="minorHAnsi"/>
          <w:sz w:val="24"/>
          <w:szCs w:val="24"/>
        </w:rPr>
      </w:pPr>
      <w:r>
        <w:rPr>
          <w:rFonts w:asciiTheme="minorHAnsi" w:hAnsiTheme="minorHAnsi"/>
          <w:sz w:val="24"/>
          <w:szCs w:val="24"/>
        </w:rPr>
        <w:t>Tujuan khusus mencakup tujuan umum dan tujuan tertinggi pendidikan Islam. Bersifat elastis, operasional, adaptif dengan perkembangan zaman tanpa meninggalkan nilai-nilai keagamaan sebagai tujuan tertinggi yang akan dicapai serta sifat dari tujuan ini adalah mudah untuk dievaluasi</w:t>
      </w:r>
      <w:r>
        <w:rPr>
          <w:rStyle w:val="10"/>
          <w:rFonts w:asciiTheme="minorHAnsi" w:hAnsiTheme="minorHAnsi"/>
          <w:sz w:val="24"/>
          <w:szCs w:val="24"/>
        </w:rPr>
        <w:footnoteReference w:id="23"/>
      </w:r>
      <w:r>
        <w:rPr>
          <w:rFonts w:asciiTheme="minorHAnsi" w:hAnsiTheme="minorHAnsi"/>
          <w:sz w:val="24"/>
          <w:szCs w:val="24"/>
        </w:rPr>
        <w:t>.</w:t>
      </w:r>
    </w:p>
    <w:p>
      <w:pPr>
        <w:pStyle w:val="18"/>
        <w:numPr>
          <w:ilvl w:val="1"/>
          <w:numId w:val="1"/>
        </w:numPr>
        <w:pBdr>
          <w:top w:val="none" w:color="auto" w:sz="0" w:space="0"/>
          <w:left w:val="none" w:color="auto" w:sz="0" w:space="0"/>
          <w:bottom w:val="none" w:color="auto" w:sz="0" w:space="0"/>
          <w:right w:val="none" w:color="auto" w:sz="0" w:space="0"/>
          <w:between w:val="none" w:color="auto" w:sz="0" w:space="0"/>
        </w:pBdr>
        <w:spacing w:after="160" w:line="360" w:lineRule="auto"/>
        <w:jc w:val="both"/>
        <w:rPr>
          <w:rFonts w:asciiTheme="minorHAnsi" w:hAnsiTheme="minorHAnsi"/>
          <w:sz w:val="24"/>
          <w:szCs w:val="24"/>
        </w:rPr>
      </w:pPr>
      <w:r>
        <w:rPr>
          <w:rFonts w:asciiTheme="minorHAnsi" w:hAnsiTheme="minorHAnsi"/>
          <w:sz w:val="24"/>
          <w:szCs w:val="24"/>
        </w:rPr>
        <w:t>Tujuan Pendidikan Islam</w:t>
      </w:r>
    </w:p>
    <w:p>
      <w:pPr>
        <w:pStyle w:val="18"/>
        <w:pBdr>
          <w:top w:val="none" w:color="auto" w:sz="0" w:space="0"/>
          <w:left w:val="none" w:color="auto" w:sz="0" w:space="0"/>
          <w:bottom w:val="none" w:color="auto" w:sz="0" w:space="0"/>
          <w:right w:val="none" w:color="auto" w:sz="0" w:space="0"/>
          <w:between w:val="none" w:color="auto" w:sz="0" w:space="0"/>
        </w:pBdr>
        <w:spacing w:after="160" w:line="360" w:lineRule="auto"/>
        <w:ind w:left="1440" w:firstLine="720"/>
        <w:jc w:val="both"/>
        <w:rPr>
          <w:rFonts w:asciiTheme="minorHAnsi" w:hAnsiTheme="minorHAnsi"/>
          <w:sz w:val="24"/>
          <w:szCs w:val="24"/>
        </w:rPr>
      </w:pPr>
      <w:r>
        <w:rPr>
          <w:rFonts w:asciiTheme="minorHAnsi" w:hAnsiTheme="minorHAnsi"/>
          <w:sz w:val="24"/>
          <w:szCs w:val="24"/>
        </w:rPr>
        <w:t xml:space="preserve">Tujuan pendidikan Islam yaitu mewujudkan para pemimpin yang </w:t>
      </w:r>
      <w:r>
        <w:rPr>
          <w:rFonts w:asciiTheme="minorHAnsi" w:hAnsiTheme="minorHAnsi"/>
          <w:i/>
          <w:sz w:val="24"/>
          <w:szCs w:val="24"/>
        </w:rPr>
        <w:t>Amar ma'ruf nahi mungkar</w:t>
      </w:r>
      <w:r>
        <w:rPr>
          <w:rFonts w:asciiTheme="minorHAnsi" w:hAnsiTheme="minorHAnsi"/>
          <w:iCs/>
          <w:sz w:val="24"/>
          <w:szCs w:val="24"/>
        </w:rPr>
        <w:t xml:space="preserve"> menurut</w:t>
      </w:r>
      <w:r>
        <w:rPr>
          <w:rFonts w:asciiTheme="minorHAnsi" w:hAnsiTheme="minorHAnsi"/>
          <w:i/>
          <w:sz w:val="24"/>
          <w:szCs w:val="24"/>
        </w:rPr>
        <w:t xml:space="preserve"> </w:t>
      </w:r>
      <w:r>
        <w:rPr>
          <w:rFonts w:asciiTheme="minorHAnsi" w:hAnsiTheme="minorHAnsi"/>
          <w:sz w:val="24"/>
          <w:szCs w:val="24"/>
        </w:rPr>
        <w:t>(Toha, 1996). Seperti yang telah dicantumkan dalam firman Allah Q.S Al-Baqarah ayat 30 yaitu: “Ingatlah ketika Tuhanmu berfirman kepada malaikat, Sesungguhnya aku hendak menjadikan seseorang khalifah di bumi”. (QS Al-Baqarah: 30). Omar Muhammad al-Taumy al-Syaibani mengemukakan bahwa tujuan pendidikan Islam dibagi dalam tiga bidang asasi yaitu: tujuan individu yang berhubungan antar individu, pembelajaran yang berhubungan dengan mereka, dan perubahan yang diinginkan terletak pada sikap dan perilaku, pencapaian diri, dan aktivitas yang sesuai pada prinsip kehidupan di dunia dan di akhirat. Tujuan sosial yang berhubungan dengan keseluruhan kehidupan bermasyarakat yang menambah pengalaman dan kemajuan masyarakat. Tujuan profesional yang berhubungan dengan pendidikan sebagai seni, ilmu, dan sebagai suatu kegiatan di masyarakat</w:t>
      </w:r>
      <w:r>
        <w:rPr>
          <w:rStyle w:val="10"/>
          <w:rFonts w:asciiTheme="minorHAnsi" w:hAnsiTheme="minorHAnsi"/>
          <w:sz w:val="24"/>
          <w:szCs w:val="24"/>
        </w:rPr>
        <w:footnoteReference w:id="24"/>
      </w:r>
      <w:r>
        <w:rPr>
          <w:rFonts w:asciiTheme="minorHAnsi" w:hAnsiTheme="minorHAnsi"/>
          <w:sz w:val="24"/>
          <w:szCs w:val="24"/>
        </w:rPr>
        <w:t>.</w:t>
      </w:r>
    </w:p>
    <w:p>
      <w:pPr>
        <w:pStyle w:val="18"/>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jc w:val="both"/>
        <w:rPr>
          <w:rFonts w:eastAsia="Book Antiqua" w:cs="Book Antiqua" w:asciiTheme="minorHAnsi" w:hAnsiTheme="minorHAnsi"/>
          <w:b/>
          <w:color w:val="000000"/>
          <w:sz w:val="24"/>
          <w:szCs w:val="24"/>
        </w:rPr>
      </w:pPr>
      <w:r>
        <w:rPr>
          <w:rFonts w:eastAsia="Book Antiqua" w:cs="Book Antiqua" w:asciiTheme="minorHAnsi" w:hAnsiTheme="minorHAnsi"/>
          <w:b/>
          <w:color w:val="000000"/>
          <w:sz w:val="24"/>
          <w:szCs w:val="24"/>
        </w:rPr>
        <w:t>Faktor Pendorong Transformasi Digital Kedalam Pendidikan Islam yang Berkemajuan</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asciiTheme="minorHAnsi" w:hAnsiTheme="minorHAnsi"/>
          <w:sz w:val="24"/>
          <w:szCs w:val="24"/>
        </w:rPr>
        <w:t>Apabila dilihat d</w:t>
      </w:r>
      <w:r>
        <w:rPr>
          <w:rFonts w:asciiTheme="minorHAnsi" w:hAnsiTheme="minorHAnsi"/>
          <w:sz w:val="24"/>
          <w:szCs w:val="24"/>
          <w:lang w:val="en-US"/>
        </w:rPr>
        <w:t xml:space="preserve">ari prespektif </w:t>
      </w:r>
      <w:r>
        <w:rPr>
          <w:rFonts w:asciiTheme="minorHAnsi" w:hAnsiTheme="minorHAnsi"/>
          <w:sz w:val="24"/>
          <w:szCs w:val="24"/>
        </w:rPr>
        <w:t>kondisi saat</w:t>
      </w:r>
      <w:r>
        <w:rPr>
          <w:rFonts w:asciiTheme="minorHAnsi" w:hAnsiTheme="minorHAnsi"/>
          <w:sz w:val="24"/>
          <w:szCs w:val="24"/>
          <w:lang w:val="en-US"/>
        </w:rPr>
        <w:t xml:space="preserve"> itu, kekuatan pendorong di balik transformasi digital saat ini adalah </w:t>
      </w:r>
      <w:r>
        <w:rPr>
          <w:rFonts w:asciiTheme="minorHAnsi" w:hAnsiTheme="minorHAnsi"/>
          <w:i/>
          <w:iCs/>
          <w:sz w:val="24"/>
          <w:szCs w:val="24"/>
          <w:lang w:val="en-US"/>
        </w:rPr>
        <w:t>Covid-19</w:t>
      </w:r>
      <w:r>
        <w:rPr>
          <w:rFonts w:asciiTheme="minorHAnsi" w:hAnsiTheme="minorHAnsi"/>
          <w:sz w:val="24"/>
          <w:szCs w:val="24"/>
          <w:lang w:val="en-US"/>
        </w:rPr>
        <w:t>.</w:t>
      </w:r>
      <w:r>
        <w:rPr>
          <w:rFonts w:asciiTheme="minorHAnsi" w:hAnsiTheme="minorHAnsi"/>
          <w:sz w:val="24"/>
          <w:szCs w:val="24"/>
        </w:rPr>
        <w:t xml:space="preserve"> </w:t>
      </w:r>
      <w:r>
        <w:rPr>
          <w:rFonts w:asciiTheme="minorHAnsi" w:hAnsiTheme="minorHAnsi"/>
          <w:sz w:val="24"/>
          <w:szCs w:val="24"/>
          <w:lang w:val="en-US"/>
        </w:rPr>
        <w:t>Hal ini dikarena</w:t>
      </w:r>
      <w:r>
        <w:rPr>
          <w:rFonts w:asciiTheme="minorHAnsi" w:hAnsiTheme="minorHAnsi"/>
          <w:sz w:val="24"/>
          <w:szCs w:val="24"/>
        </w:rPr>
        <w:t>kan</w:t>
      </w:r>
      <w:r>
        <w:rPr>
          <w:rFonts w:asciiTheme="minorHAnsi" w:hAnsiTheme="minorHAnsi"/>
          <w:sz w:val="24"/>
          <w:szCs w:val="24"/>
          <w:lang w:val="en-US"/>
        </w:rPr>
        <w:t xml:space="preserve"> untuk mematahkan mata rantai penyebaran </w:t>
      </w:r>
      <w:r>
        <w:rPr>
          <w:rFonts w:asciiTheme="minorHAnsi" w:hAnsiTheme="minorHAnsi"/>
          <w:i/>
          <w:iCs/>
          <w:sz w:val="24"/>
          <w:szCs w:val="24"/>
          <w:lang w:val="en-US"/>
        </w:rPr>
        <w:t>Covid-19</w:t>
      </w:r>
      <w:r>
        <w:rPr>
          <w:rFonts w:asciiTheme="minorHAnsi" w:hAnsiTheme="minorHAnsi"/>
          <w:sz w:val="24"/>
          <w:szCs w:val="24"/>
          <w:lang w:val="en-US"/>
        </w:rPr>
        <w:t xml:space="preserve">, </w:t>
      </w:r>
      <w:r>
        <w:rPr>
          <w:rFonts w:asciiTheme="minorHAnsi" w:hAnsiTheme="minorHAnsi"/>
          <w:sz w:val="24"/>
          <w:szCs w:val="24"/>
        </w:rPr>
        <w:t>semua orang tidak diperbolehkan bertemu secara langsung, melainkan beralih dengan bertemu menggunakan</w:t>
      </w:r>
      <w:r>
        <w:rPr>
          <w:rFonts w:asciiTheme="minorHAnsi" w:hAnsiTheme="minorHAnsi"/>
          <w:sz w:val="24"/>
          <w:szCs w:val="24"/>
          <w:lang w:val="en-US"/>
        </w:rPr>
        <w:t xml:space="preserve"> media virtual </w:t>
      </w:r>
      <w:r>
        <w:rPr>
          <w:rFonts w:asciiTheme="minorHAnsi" w:hAnsiTheme="minorHAnsi"/>
          <w:sz w:val="24"/>
          <w:szCs w:val="24"/>
        </w:rPr>
        <w:t>dalam aktivitas belajar, bekerja, dan aktivitas lain</w:t>
      </w:r>
      <w:r>
        <w:rPr>
          <w:rStyle w:val="10"/>
          <w:rFonts w:asciiTheme="minorHAnsi" w:hAnsiTheme="minorHAnsi"/>
          <w:sz w:val="24"/>
          <w:szCs w:val="24"/>
        </w:rPr>
        <w:footnoteReference w:id="25"/>
      </w:r>
      <w:r>
        <w:rPr>
          <w:rFonts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asciiTheme="minorHAnsi" w:hAnsiTheme="minorHAnsi"/>
          <w:sz w:val="24"/>
          <w:szCs w:val="24"/>
          <w:lang w:val="en-US"/>
        </w:rPr>
        <w:t xml:space="preserve">Pandemi </w:t>
      </w:r>
      <w:r>
        <w:rPr>
          <w:rFonts w:asciiTheme="minorHAnsi" w:hAnsiTheme="minorHAnsi"/>
          <w:i/>
          <w:iCs/>
          <w:sz w:val="24"/>
          <w:szCs w:val="24"/>
          <w:lang w:val="en-US"/>
        </w:rPr>
        <w:t>Covid-19</w:t>
      </w:r>
      <w:r>
        <w:rPr>
          <w:rFonts w:asciiTheme="minorHAnsi" w:hAnsiTheme="minorHAnsi"/>
          <w:sz w:val="24"/>
          <w:szCs w:val="24"/>
          <w:lang w:val="en-US"/>
        </w:rPr>
        <w:t xml:space="preserve"> mendorong pemerintah mengeluarkan kebijakan baru bahwa</w:t>
      </w:r>
      <w:r>
        <w:rPr>
          <w:rFonts w:asciiTheme="minorHAnsi" w:hAnsiTheme="minorHAnsi"/>
          <w:sz w:val="24"/>
          <w:szCs w:val="24"/>
        </w:rPr>
        <w:t xml:space="preserve">sanya </w:t>
      </w:r>
      <w:r>
        <w:rPr>
          <w:rFonts w:asciiTheme="minorHAnsi" w:hAnsiTheme="minorHAnsi"/>
          <w:sz w:val="24"/>
          <w:szCs w:val="24"/>
          <w:lang w:val="en-US"/>
        </w:rPr>
        <w:t xml:space="preserve">segala sesuatu </w:t>
      </w:r>
      <w:r>
        <w:rPr>
          <w:rFonts w:asciiTheme="minorHAnsi" w:hAnsiTheme="minorHAnsi"/>
          <w:sz w:val="24"/>
          <w:szCs w:val="24"/>
        </w:rPr>
        <w:t xml:space="preserve">aktivitas </w:t>
      </w:r>
      <w:r>
        <w:rPr>
          <w:rFonts w:asciiTheme="minorHAnsi" w:hAnsiTheme="minorHAnsi"/>
          <w:sz w:val="24"/>
          <w:szCs w:val="24"/>
          <w:lang w:val="en-US"/>
        </w:rPr>
        <w:t>dijalankan melalui media digital untuk menghindari kontak langsung antar masyarakat, dan seluruh masyarakat harus mematuhi peraturan tersebut. Usaha</w:t>
      </w:r>
      <w:r>
        <w:rPr>
          <w:rFonts w:asciiTheme="minorHAnsi" w:hAnsiTheme="minorHAnsi"/>
          <w:sz w:val="24"/>
          <w:szCs w:val="24"/>
        </w:rPr>
        <w:t xml:space="preserve"> pencegahan dan pengendalian</w:t>
      </w:r>
      <w:r>
        <w:rPr>
          <w:rFonts w:asciiTheme="minorHAnsi" w:hAnsiTheme="minorHAnsi"/>
          <w:sz w:val="24"/>
          <w:szCs w:val="24"/>
          <w:lang w:val="en-US"/>
        </w:rPr>
        <w:t xml:space="preserve"> penyebaran </w:t>
      </w:r>
      <w:r>
        <w:rPr>
          <w:rFonts w:asciiTheme="minorHAnsi" w:hAnsiTheme="minorHAnsi"/>
          <w:i/>
          <w:iCs/>
          <w:sz w:val="24"/>
          <w:szCs w:val="24"/>
        </w:rPr>
        <w:t>Covid-19</w:t>
      </w:r>
      <w:r>
        <w:rPr>
          <w:rFonts w:asciiTheme="minorHAnsi" w:hAnsiTheme="minorHAnsi"/>
          <w:sz w:val="24"/>
          <w:szCs w:val="24"/>
          <w:lang w:val="en-US"/>
        </w:rPr>
        <w:t xml:space="preserve"> diarahkan untuk membatasi</w:t>
      </w:r>
      <w:r>
        <w:rPr>
          <w:rFonts w:asciiTheme="minorHAnsi" w:hAnsiTheme="minorHAnsi"/>
          <w:sz w:val="24"/>
          <w:szCs w:val="24"/>
        </w:rPr>
        <w:t xml:space="preserve"> kerumunan dan interaksi fisik antar masyarakat</w:t>
      </w:r>
      <w:r>
        <w:rPr>
          <w:rFonts w:asciiTheme="minorHAnsi" w:hAnsiTheme="minorHAnsi"/>
          <w:sz w:val="24"/>
          <w:szCs w:val="24"/>
          <w:lang w:val="en-US"/>
        </w:rPr>
        <w:t xml:space="preserve">. Alhasil, kebijakan ini memengaruhi </w:t>
      </w:r>
      <w:r>
        <w:rPr>
          <w:rFonts w:asciiTheme="minorHAnsi" w:hAnsiTheme="minorHAnsi"/>
          <w:sz w:val="24"/>
          <w:szCs w:val="24"/>
        </w:rPr>
        <w:t>semua</w:t>
      </w:r>
      <w:r>
        <w:rPr>
          <w:rFonts w:asciiTheme="minorHAnsi" w:hAnsiTheme="minorHAnsi"/>
          <w:sz w:val="24"/>
          <w:szCs w:val="24"/>
          <w:lang w:val="en-US"/>
        </w:rPr>
        <w:t xml:space="preserve"> bidang kehidupan, meliputi </w:t>
      </w:r>
      <w:r>
        <w:rPr>
          <w:rFonts w:asciiTheme="minorHAnsi" w:hAnsiTheme="minorHAnsi"/>
          <w:sz w:val="24"/>
          <w:szCs w:val="24"/>
        </w:rPr>
        <w:t>kegiatan belajar mengajar</w:t>
      </w:r>
      <w:r>
        <w:rPr>
          <w:rFonts w:asciiTheme="minorHAnsi" w:hAnsiTheme="minorHAnsi"/>
          <w:sz w:val="24"/>
          <w:szCs w:val="24"/>
          <w:lang w:val="en-US"/>
        </w:rPr>
        <w:t xml:space="preserve"> peserta didik di </w:t>
      </w:r>
      <w:r>
        <w:rPr>
          <w:rFonts w:asciiTheme="minorHAnsi" w:hAnsiTheme="minorHAnsi"/>
          <w:sz w:val="24"/>
          <w:szCs w:val="24"/>
        </w:rPr>
        <w:t xml:space="preserve">dalam </w:t>
      </w:r>
      <w:r>
        <w:rPr>
          <w:rFonts w:asciiTheme="minorHAnsi" w:hAnsiTheme="minorHAnsi"/>
          <w:sz w:val="24"/>
          <w:szCs w:val="24"/>
          <w:lang w:val="en-US"/>
        </w:rPr>
        <w:t xml:space="preserve">sekolah. Proses pembelajaran merupakan proses pencapaian tujuan </w:t>
      </w:r>
      <w:r>
        <w:rPr>
          <w:rFonts w:asciiTheme="minorHAnsi" w:hAnsiTheme="minorHAnsi"/>
          <w:sz w:val="24"/>
          <w:szCs w:val="24"/>
        </w:rPr>
        <w:t>belajar</w:t>
      </w:r>
      <w:r>
        <w:rPr>
          <w:rFonts w:asciiTheme="minorHAnsi" w:hAnsiTheme="minorHAnsi"/>
          <w:sz w:val="24"/>
          <w:szCs w:val="24"/>
          <w:lang w:val="en-US"/>
        </w:rPr>
        <w:t xml:space="preserve"> peserta didik dengan</w:t>
      </w:r>
      <w:r>
        <w:rPr>
          <w:rFonts w:asciiTheme="minorHAnsi" w:hAnsiTheme="minorHAnsi"/>
          <w:sz w:val="24"/>
          <w:szCs w:val="24"/>
        </w:rPr>
        <w:t xml:space="preserve"> cara memberi bimbingan</w:t>
      </w:r>
      <w:r>
        <w:rPr>
          <w:rFonts w:asciiTheme="minorHAnsi" w:hAnsiTheme="minorHAnsi"/>
          <w:sz w:val="24"/>
          <w:szCs w:val="24"/>
          <w:lang w:val="en-US"/>
        </w:rPr>
        <w:t xml:space="preserve">, motivasi dan arahan dari guru. Kebijakan </w:t>
      </w:r>
      <w:r>
        <w:rPr>
          <w:rFonts w:asciiTheme="minorHAnsi" w:hAnsiTheme="minorHAnsi"/>
          <w:sz w:val="24"/>
          <w:szCs w:val="24"/>
        </w:rPr>
        <w:t xml:space="preserve">ini mengharuskan siswa dan pengajar untuk menyesuaikan diri pada kondisi ini dengan melaksanakan proses pembelajaran yang berbeda dari sebelumnya, yakni </w:t>
      </w:r>
      <w:r>
        <w:rPr>
          <w:rFonts w:asciiTheme="minorHAnsi" w:hAnsiTheme="minorHAnsi"/>
          <w:sz w:val="24"/>
          <w:szCs w:val="24"/>
          <w:lang w:val="en-US"/>
        </w:rPr>
        <w:t>melalui sistem</w:t>
      </w:r>
      <w:r>
        <w:rPr>
          <w:rFonts w:asciiTheme="minorHAnsi" w:hAnsiTheme="minorHAnsi"/>
          <w:sz w:val="24"/>
          <w:szCs w:val="24"/>
        </w:rPr>
        <w:t xml:space="preserve"> pembelajaran daring </w:t>
      </w:r>
      <w:r>
        <w:rPr>
          <w:rFonts w:asciiTheme="minorHAnsi" w:hAnsiTheme="minorHAnsi"/>
          <w:sz w:val="24"/>
          <w:szCs w:val="24"/>
          <w:lang w:val="en-US"/>
        </w:rPr>
        <w:t xml:space="preserve"> </w:t>
      </w:r>
      <w:r>
        <w:rPr>
          <w:rFonts w:asciiTheme="minorHAnsi" w:hAnsiTheme="minorHAnsi"/>
          <w:sz w:val="24"/>
          <w:szCs w:val="24"/>
        </w:rPr>
        <w:t>atau online</w:t>
      </w:r>
      <w:r>
        <w:rPr>
          <w:rStyle w:val="10"/>
          <w:rFonts w:asciiTheme="minorHAnsi" w:hAnsiTheme="minorHAnsi"/>
          <w:sz w:val="24"/>
          <w:szCs w:val="24"/>
        </w:rPr>
        <w:footnoteReference w:id="26"/>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jc w:val="both"/>
        <w:rPr>
          <w:rFonts w:eastAsia="Book Antiqua" w:cs="Book Antiqua" w:asciiTheme="minorHAnsi" w:hAnsiTheme="minorHAnsi"/>
          <w:b/>
          <w:color w:val="000000"/>
          <w:sz w:val="24"/>
          <w:szCs w:val="24"/>
        </w:rPr>
      </w:pPr>
      <w:r>
        <w:rPr>
          <w:rFonts w:eastAsia="Book Antiqua" w:cs="Book Antiqua" w:asciiTheme="minorHAnsi" w:hAnsiTheme="minorHAnsi"/>
          <w:b/>
          <w:color w:val="000000"/>
          <w:sz w:val="24"/>
          <w:szCs w:val="24"/>
        </w:rPr>
        <w:t xml:space="preserve">Implementasi </w:t>
      </w:r>
      <w:r>
        <w:rPr>
          <w:rFonts w:eastAsia="Book Antiqua" w:cs="Book Antiqua" w:asciiTheme="minorHAnsi" w:hAnsiTheme="minorHAnsi"/>
          <w:b/>
          <w:i/>
          <w:iCs/>
          <w:color w:val="000000"/>
          <w:sz w:val="24"/>
          <w:szCs w:val="24"/>
        </w:rPr>
        <w:t>Platform</w:t>
      </w:r>
      <w:r>
        <w:rPr>
          <w:rFonts w:eastAsia="Book Antiqua" w:cs="Book Antiqua" w:asciiTheme="minorHAnsi" w:hAnsiTheme="minorHAnsi"/>
          <w:b/>
          <w:color w:val="000000"/>
          <w:sz w:val="24"/>
          <w:szCs w:val="24"/>
        </w:rPr>
        <w:t xml:space="preserve"> Digital pada Tranformasi Pendidikan Islam</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Pembelajaran secara daring atau online merupakan proses pembelajaran dengan tujuan untuk merengkuh kelompok yang luas, kuat dan kokoh dengan menunggangi jaringan internet yang tersedia. Proses pembelajaran daring memanfaatkan hadirnya kemajuan teknologi seperti </w:t>
      </w:r>
      <w:r>
        <w:rPr>
          <w:rFonts w:eastAsia="Book Antiqua" w:cs="Book Antiqua" w:asciiTheme="minorHAnsi" w:hAnsiTheme="minorHAnsi"/>
          <w:i/>
          <w:sz w:val="24"/>
          <w:szCs w:val="24"/>
        </w:rPr>
        <w:t>Youtube, google meet, Microsoft power point, media sosial, whatsapp</w:t>
      </w:r>
      <w:r>
        <w:rPr>
          <w:rFonts w:eastAsia="Book Antiqua" w:cs="Book Antiqua" w:asciiTheme="minorHAnsi" w:hAnsiTheme="minorHAnsi"/>
          <w:sz w:val="24"/>
          <w:szCs w:val="24"/>
        </w:rPr>
        <w:t xml:space="preserve">. Sehingga, pembelajaran ini dapat dilaksanakan secara kompak dengan peserta yang terbatas. Yang mana beberapa paltform tersebut bisa kita gunakan dalam sistem pembelajaran </w:t>
      </w:r>
      <w:r>
        <w:rPr>
          <w:rFonts w:eastAsia="Book Antiqua" w:cs="Book Antiqua" w:asciiTheme="minorHAnsi" w:hAnsiTheme="minorHAnsi"/>
          <w:i/>
          <w:sz w:val="24"/>
          <w:szCs w:val="24"/>
        </w:rPr>
        <w:t>blended learning.</w:t>
      </w:r>
      <w:r>
        <w:rPr>
          <w:rFonts w:eastAsia="Book Antiqua" w:cs="Book Antiqua" w:asciiTheme="minorHAnsi" w:hAnsiTheme="minorHAnsi"/>
          <w:sz w:val="24"/>
          <w:szCs w:val="24"/>
        </w:rPr>
        <w:t xml:space="preserve"> Yang mana sistem </w:t>
      </w:r>
      <w:r>
        <w:rPr>
          <w:rFonts w:eastAsia="Book Antiqua" w:cs="Book Antiqua" w:asciiTheme="minorHAnsi" w:hAnsiTheme="minorHAnsi"/>
          <w:i/>
          <w:sz w:val="24"/>
          <w:szCs w:val="24"/>
        </w:rPr>
        <w:t>blended learning</w:t>
      </w:r>
      <w:r>
        <w:rPr>
          <w:rFonts w:eastAsia="Book Antiqua" w:cs="Book Antiqua" w:asciiTheme="minorHAnsi" w:hAnsiTheme="minorHAnsi"/>
          <w:sz w:val="24"/>
          <w:szCs w:val="24"/>
        </w:rPr>
        <w:t xml:space="preserve"> ini tidak hanya digunakan dalam kelas, tetapi bisa digunakan dengan sesi jarak jauh</w:t>
      </w:r>
      <w:r>
        <w:rPr>
          <w:rStyle w:val="10"/>
          <w:rFonts w:eastAsia="Book Antiqua" w:cs="Book Antiqua" w:asciiTheme="minorHAnsi" w:hAnsiTheme="minorHAnsi"/>
          <w:sz w:val="24"/>
          <w:szCs w:val="24"/>
        </w:rPr>
        <w:footnoteReference w:id="27"/>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Dan metode ini sangat cocok digunakan untuk peserta didik dengan tanggungan lain, misalnya dia belum ada biaya untuk bergabung di kelas yang mana jarak rumah dengan sekolah sangat jauh. Atau mahasiswa yang sedang bekerja sehingga tidak dapat mengikuti jadwal </w:t>
      </w:r>
      <w:r>
        <w:rPr>
          <w:rFonts w:eastAsia="Book Antiqua" w:cs="Book Antiqua" w:asciiTheme="minorHAnsi" w:hAnsiTheme="minorHAnsi"/>
          <w:i/>
          <w:sz w:val="24"/>
          <w:szCs w:val="24"/>
        </w:rPr>
        <w:t>full time student</w:t>
      </w:r>
      <w:r>
        <w:rPr>
          <w:rFonts w:eastAsia="Book Antiqua" w:cs="Book Antiqua" w:asciiTheme="minorHAnsi" w:hAnsiTheme="minorHAnsi"/>
          <w:sz w:val="24"/>
          <w:szCs w:val="24"/>
        </w:rPr>
        <w:t>. Selain belajar sesuai kurikulum, metode belajar ini juga sering digunakan untuk seminar atau pelatihan lainnya.</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Dengan </w:t>
      </w:r>
      <w:r>
        <w:rPr>
          <w:rFonts w:eastAsia="Book Antiqua" w:cs="Book Antiqua" w:asciiTheme="minorHAnsi" w:hAnsiTheme="minorHAnsi"/>
          <w:i/>
          <w:iCs/>
          <w:sz w:val="24"/>
          <w:szCs w:val="24"/>
        </w:rPr>
        <w:t>platform-platform</w:t>
      </w:r>
      <w:r>
        <w:rPr>
          <w:rFonts w:eastAsia="Book Antiqua" w:cs="Book Antiqua" w:asciiTheme="minorHAnsi" w:hAnsiTheme="minorHAnsi"/>
          <w:sz w:val="24"/>
          <w:szCs w:val="24"/>
        </w:rPr>
        <w:t xml:space="preserve"> tersebut seorang guru PAI bisa mengkreasikan sistem pembelajarannya, karena banyak peserta didik yang bosan dalam penyampaian pelajaran jika digunakan dengan metode ceramah, karena guru juga merasa bahwa metode yang paling cocok dalam penyampaian mata pelajaran keislaman yaitu dengan ceramah. Sangat disayangkan hal ini terjadi karena akibat kurang nya literasi akan teknologi dan inovasi sistem pembelajaran</w:t>
      </w:r>
      <w:r>
        <w:rPr>
          <w:rStyle w:val="10"/>
          <w:rFonts w:eastAsia="Book Antiqua" w:cs="Book Antiqua" w:asciiTheme="minorHAnsi" w:hAnsiTheme="minorHAnsi"/>
          <w:sz w:val="24"/>
          <w:szCs w:val="24"/>
        </w:rPr>
        <w:footnoteReference w:id="28"/>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Untuk sebagian masyarakat </w:t>
      </w:r>
      <w:r>
        <w:rPr>
          <w:rFonts w:eastAsia="Book Antiqua" w:cs="Book Antiqua" w:asciiTheme="minorHAnsi" w:hAnsiTheme="minorHAnsi"/>
          <w:i/>
          <w:sz w:val="24"/>
          <w:szCs w:val="24"/>
        </w:rPr>
        <w:t>platform</w:t>
      </w:r>
      <w:r>
        <w:rPr>
          <w:rFonts w:eastAsia="Book Antiqua" w:cs="Book Antiqua" w:asciiTheme="minorHAnsi" w:hAnsiTheme="minorHAnsi"/>
          <w:sz w:val="24"/>
          <w:szCs w:val="24"/>
        </w:rPr>
        <w:t xml:space="preserve"> media sosial adalah </w:t>
      </w:r>
      <w:r>
        <w:rPr>
          <w:rFonts w:eastAsia="Book Antiqua" w:cs="Book Antiqua" w:asciiTheme="minorHAnsi" w:hAnsiTheme="minorHAnsi"/>
          <w:i/>
          <w:iCs/>
          <w:sz w:val="24"/>
          <w:szCs w:val="24"/>
        </w:rPr>
        <w:t>platform</w:t>
      </w:r>
      <w:r>
        <w:rPr>
          <w:rFonts w:eastAsia="Book Antiqua" w:cs="Book Antiqua" w:asciiTheme="minorHAnsi" w:hAnsiTheme="minorHAnsi"/>
          <w:sz w:val="24"/>
          <w:szCs w:val="24"/>
        </w:rPr>
        <w:t xml:space="preserve"> yang paling mudah digunakan dalam mencari informasi seputar dakwah islam, sebagaimana kita juga harus bisa menggunakan  </w:t>
      </w:r>
      <w:r>
        <w:rPr>
          <w:rFonts w:eastAsia="Book Antiqua" w:cs="Book Antiqua" w:asciiTheme="minorHAnsi" w:hAnsiTheme="minorHAnsi"/>
          <w:i/>
          <w:iCs/>
          <w:sz w:val="24"/>
          <w:szCs w:val="24"/>
        </w:rPr>
        <w:t>platform</w:t>
      </w:r>
      <w:r>
        <w:rPr>
          <w:rFonts w:eastAsia="Book Antiqua" w:cs="Book Antiqua" w:asciiTheme="minorHAnsi" w:hAnsiTheme="minorHAnsi"/>
          <w:sz w:val="24"/>
          <w:szCs w:val="24"/>
        </w:rPr>
        <w:t xml:space="preserve"> tersebut secara bijak. Agar informasi informasi yang kita dapatkan juga bermanfaat. </w:t>
      </w:r>
      <w:r>
        <w:rPr>
          <w:rFonts w:eastAsia="Book Antiqua" w:cs="Book Antiqua" w:asciiTheme="minorHAnsi" w:hAnsiTheme="minorHAnsi"/>
          <w:i/>
          <w:sz w:val="24"/>
          <w:szCs w:val="24"/>
        </w:rPr>
        <w:t>Platform Youtube</w:t>
      </w:r>
      <w:r>
        <w:rPr>
          <w:rFonts w:eastAsia="Book Antiqua" w:cs="Book Antiqua" w:asciiTheme="minorHAnsi" w:hAnsiTheme="minorHAnsi"/>
          <w:sz w:val="24"/>
          <w:szCs w:val="24"/>
        </w:rPr>
        <w:t xml:space="preserve"> juga sangat beragam isinya yang mana para pendidik bisa mengkombinasikan penyampaian materi menggunakan </w:t>
      </w:r>
      <w:r>
        <w:rPr>
          <w:rFonts w:eastAsia="Book Antiqua" w:cs="Book Antiqua" w:asciiTheme="minorHAnsi" w:hAnsiTheme="minorHAnsi"/>
          <w:i/>
          <w:iCs/>
          <w:sz w:val="24"/>
          <w:szCs w:val="24"/>
        </w:rPr>
        <w:t>youtube</w:t>
      </w:r>
      <w:r>
        <w:rPr>
          <w:rFonts w:eastAsia="Book Antiqua" w:cs="Book Antiqua" w:asciiTheme="minorHAnsi" w:hAnsiTheme="minorHAnsi"/>
          <w:sz w:val="24"/>
          <w:szCs w:val="24"/>
        </w:rPr>
        <w:t xml:space="preserve"> sesuai materi yang akan di ajukan. Seperti praktek sholat agar lebih jelas juga praktek secara langsung dan di kombinasikan dengan platform Youtube juga sangat baik sekali. Bahkan </w:t>
      </w:r>
      <w:r>
        <w:rPr>
          <w:rFonts w:eastAsia="Book Antiqua" w:cs="Book Antiqua" w:asciiTheme="minorHAnsi" w:hAnsiTheme="minorHAnsi"/>
          <w:i/>
          <w:sz w:val="24"/>
          <w:szCs w:val="24"/>
        </w:rPr>
        <w:t xml:space="preserve">platform youtube </w:t>
      </w:r>
      <w:r>
        <w:rPr>
          <w:rFonts w:eastAsia="Book Antiqua" w:cs="Book Antiqua" w:asciiTheme="minorHAnsi" w:hAnsiTheme="minorHAnsi"/>
          <w:sz w:val="24"/>
          <w:szCs w:val="24"/>
        </w:rPr>
        <w:t>salah satu landasan seseorang untuk belajar secara otodidak</w:t>
      </w:r>
      <w:r>
        <w:rPr>
          <w:rStyle w:val="10"/>
          <w:rFonts w:eastAsia="Book Antiqua" w:cs="Book Antiqua" w:asciiTheme="minorHAnsi" w:hAnsiTheme="minorHAnsi"/>
          <w:sz w:val="24"/>
          <w:szCs w:val="24"/>
        </w:rPr>
        <w:footnoteReference w:id="29"/>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Selama proses pembelajaran pun tidak semulus itu, kita tidak bisa memprediksikan cuaca, keadaan seseorang yang mungkin tiba tiba ada kendala. Kita bisa menggunakan media </w:t>
      </w:r>
      <w:r>
        <w:rPr>
          <w:rFonts w:eastAsia="Book Antiqua" w:cs="Book Antiqua" w:asciiTheme="minorHAnsi" w:hAnsiTheme="minorHAnsi"/>
          <w:i/>
          <w:sz w:val="24"/>
          <w:szCs w:val="24"/>
        </w:rPr>
        <w:t>google meet</w:t>
      </w:r>
      <w:r>
        <w:rPr>
          <w:rFonts w:eastAsia="Book Antiqua" w:cs="Book Antiqua" w:asciiTheme="minorHAnsi" w:hAnsiTheme="minorHAnsi"/>
          <w:sz w:val="24"/>
          <w:szCs w:val="24"/>
        </w:rPr>
        <w:t xml:space="preserve"> yang mana </w:t>
      </w:r>
      <w:r>
        <w:rPr>
          <w:rFonts w:eastAsia="Book Antiqua" w:cs="Book Antiqua" w:asciiTheme="minorHAnsi" w:hAnsiTheme="minorHAnsi"/>
          <w:i/>
          <w:sz w:val="24"/>
          <w:szCs w:val="24"/>
        </w:rPr>
        <w:t>platform</w:t>
      </w:r>
      <w:r>
        <w:rPr>
          <w:rFonts w:eastAsia="Book Antiqua" w:cs="Book Antiqua" w:asciiTheme="minorHAnsi" w:hAnsiTheme="minorHAnsi"/>
          <w:sz w:val="24"/>
          <w:szCs w:val="24"/>
        </w:rPr>
        <w:t xml:space="preserve"> ini juga sudah tidak awam lagi digunakan dikalangan masyarakat. Nah dengan </w:t>
      </w:r>
      <w:r>
        <w:rPr>
          <w:rFonts w:eastAsia="Book Antiqua" w:cs="Book Antiqua" w:asciiTheme="minorHAnsi" w:hAnsiTheme="minorHAnsi"/>
          <w:i/>
          <w:sz w:val="24"/>
          <w:szCs w:val="24"/>
        </w:rPr>
        <w:t>platform</w:t>
      </w:r>
      <w:r>
        <w:rPr>
          <w:rFonts w:eastAsia="Book Antiqua" w:cs="Book Antiqua" w:asciiTheme="minorHAnsi" w:hAnsiTheme="minorHAnsi"/>
          <w:sz w:val="24"/>
          <w:szCs w:val="24"/>
        </w:rPr>
        <w:t xml:space="preserve"> ini kita bisa menggunakan </w:t>
      </w:r>
      <w:r>
        <w:rPr>
          <w:rFonts w:eastAsia="Book Antiqua" w:cs="Book Antiqua" w:asciiTheme="minorHAnsi" w:hAnsiTheme="minorHAnsi"/>
          <w:i/>
          <w:sz w:val="24"/>
          <w:szCs w:val="24"/>
        </w:rPr>
        <w:t>microsoft powerpoint</w:t>
      </w:r>
      <w:r>
        <w:rPr>
          <w:rFonts w:eastAsia="Book Antiqua" w:cs="Book Antiqua" w:asciiTheme="minorHAnsi" w:hAnsiTheme="minorHAnsi"/>
          <w:sz w:val="24"/>
          <w:szCs w:val="24"/>
        </w:rPr>
        <w:t xml:space="preserve"> dalam menyampaikan materi agar penyampaian materi tidak hanya dengan ceramah dan lain sebagainya. Hal ini juga bisa membuat para peserta didik juga lebih semangat belajar jika materi yang disusun itu menarik. Dan </w:t>
      </w:r>
      <w:r>
        <w:rPr>
          <w:rFonts w:eastAsia="Book Antiqua" w:cs="Book Antiqua" w:asciiTheme="minorHAnsi" w:hAnsiTheme="minorHAnsi"/>
          <w:i/>
          <w:sz w:val="24"/>
          <w:szCs w:val="24"/>
        </w:rPr>
        <w:t>platform whatsapp</w:t>
      </w:r>
      <w:r>
        <w:rPr>
          <w:rFonts w:eastAsia="Book Antiqua" w:cs="Book Antiqua" w:asciiTheme="minorHAnsi" w:hAnsiTheme="minorHAnsi"/>
          <w:sz w:val="24"/>
          <w:szCs w:val="24"/>
        </w:rPr>
        <w:t xml:space="preserve"> adalah jembatan dalam menyampaikan informasi - informasi sebelum pembelajaran di mulai. Seperti halnya </w:t>
      </w:r>
      <w:r>
        <w:rPr>
          <w:rFonts w:eastAsia="Book Antiqua" w:cs="Book Antiqua" w:asciiTheme="minorHAnsi" w:hAnsiTheme="minorHAnsi"/>
          <w:i/>
          <w:sz w:val="24"/>
          <w:szCs w:val="24"/>
        </w:rPr>
        <w:t>link google meet,</w:t>
      </w:r>
      <w:r>
        <w:rPr>
          <w:rFonts w:eastAsia="Book Antiqua" w:cs="Book Antiqua" w:asciiTheme="minorHAnsi" w:hAnsiTheme="minorHAnsi"/>
          <w:sz w:val="24"/>
          <w:szCs w:val="24"/>
        </w:rPr>
        <w:t xml:space="preserve"> materi berupa </w:t>
      </w:r>
      <w:r>
        <w:rPr>
          <w:rFonts w:eastAsia="Book Antiqua" w:cs="Book Antiqua" w:asciiTheme="minorHAnsi" w:hAnsiTheme="minorHAnsi"/>
          <w:i/>
          <w:sz w:val="24"/>
          <w:szCs w:val="24"/>
        </w:rPr>
        <w:t>power point</w:t>
      </w:r>
      <w:r>
        <w:rPr>
          <w:rFonts w:eastAsia="Book Antiqua" w:cs="Book Antiqua" w:asciiTheme="minorHAnsi" w:hAnsiTheme="minorHAnsi"/>
          <w:sz w:val="24"/>
          <w:szCs w:val="24"/>
        </w:rPr>
        <w:t xml:space="preserve">, dua hal ini bisa dihubungkan oleh </w:t>
      </w:r>
      <w:r>
        <w:rPr>
          <w:rFonts w:eastAsia="Book Antiqua" w:cs="Book Antiqua" w:asciiTheme="minorHAnsi" w:hAnsiTheme="minorHAnsi"/>
          <w:i/>
          <w:sz w:val="24"/>
          <w:szCs w:val="24"/>
        </w:rPr>
        <w:t>platform whatsapp</w:t>
      </w:r>
      <w:r>
        <w:rPr>
          <w:rStyle w:val="10"/>
          <w:rFonts w:eastAsia="Book Antiqua" w:cs="Book Antiqua" w:asciiTheme="minorHAnsi" w:hAnsiTheme="minorHAnsi"/>
          <w:i/>
          <w:sz w:val="24"/>
          <w:szCs w:val="24"/>
        </w:rPr>
        <w:footnoteReference w:id="30"/>
      </w:r>
      <w:r>
        <w:rPr>
          <w:rFonts w:eastAsia="Book Antiqua" w:cs="Book Antiqua" w:asciiTheme="minorHAnsi" w:hAnsiTheme="minorHAnsi"/>
          <w:i/>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eastAsia="Book Antiqua" w:cs="Book Antiqua" w:asciiTheme="minorHAnsi" w:hAnsiTheme="minorHAnsi"/>
          <w:sz w:val="24"/>
          <w:szCs w:val="24"/>
        </w:rPr>
        <w:t xml:space="preserve">Dari berbagai </w:t>
      </w:r>
      <w:r>
        <w:rPr>
          <w:rFonts w:eastAsia="Book Antiqua" w:cs="Book Antiqua" w:asciiTheme="minorHAnsi" w:hAnsiTheme="minorHAnsi"/>
          <w:i/>
          <w:sz w:val="24"/>
          <w:szCs w:val="24"/>
        </w:rPr>
        <w:t>platform</w:t>
      </w:r>
      <w:r>
        <w:rPr>
          <w:rFonts w:eastAsia="Book Antiqua" w:cs="Book Antiqua" w:asciiTheme="minorHAnsi" w:hAnsiTheme="minorHAnsi"/>
          <w:sz w:val="24"/>
          <w:szCs w:val="24"/>
        </w:rPr>
        <w:t xml:space="preserve"> tersebut sama sekali tidak menghilangkan unsur-unsur keislaman, bahkan</w:t>
      </w:r>
      <w:r>
        <w:rPr>
          <w:rFonts w:eastAsia="Book Antiqua" w:cs="Book Antiqua" w:asciiTheme="minorHAnsi" w:hAnsiTheme="minorHAnsi"/>
          <w:i/>
          <w:iCs/>
          <w:sz w:val="24"/>
          <w:szCs w:val="24"/>
        </w:rPr>
        <w:t xml:space="preserve"> </w:t>
      </w:r>
      <w:r>
        <w:rPr>
          <w:rFonts w:eastAsia="Book Antiqua" w:cs="Book Antiqua" w:asciiTheme="minorHAnsi" w:hAnsiTheme="minorHAnsi"/>
          <w:sz w:val="24"/>
          <w:szCs w:val="24"/>
        </w:rPr>
        <w:t>perangkat</w:t>
      </w:r>
      <w:r>
        <w:rPr>
          <w:rFonts w:eastAsia="Book Antiqua" w:cs="Book Antiqua" w:asciiTheme="minorHAnsi" w:hAnsiTheme="minorHAnsi"/>
          <w:i/>
          <w:sz w:val="24"/>
          <w:szCs w:val="24"/>
        </w:rPr>
        <w:t xml:space="preserve"> platform</w:t>
      </w:r>
      <w:r>
        <w:rPr>
          <w:rFonts w:eastAsia="Book Antiqua" w:cs="Book Antiqua" w:asciiTheme="minorHAnsi" w:hAnsiTheme="minorHAnsi"/>
          <w:sz w:val="24"/>
          <w:szCs w:val="24"/>
        </w:rPr>
        <w:t xml:space="preserve"> inilah yang memudahkan masyarakat dalam menggali informasi. Jika dibandingkan dengan zaman dulu, apabila kita ingin mengiktui kajian ustad terkenal, kita harus mengeluarkan dana besar, dari mulai dana perjalanan, makan dan menginap. Kalau sekarang kita bisa mengikuti </w:t>
      </w:r>
      <w:r>
        <w:rPr>
          <w:rFonts w:eastAsia="Book Antiqua" w:cs="Book Antiqua" w:asciiTheme="minorHAnsi" w:hAnsiTheme="minorHAnsi"/>
          <w:i/>
          <w:sz w:val="24"/>
          <w:szCs w:val="24"/>
        </w:rPr>
        <w:t>live streaming youtube</w:t>
      </w:r>
      <w:r>
        <w:rPr>
          <w:rFonts w:eastAsia="Book Antiqua" w:cs="Book Antiqua" w:asciiTheme="minorHAnsi" w:hAnsiTheme="minorHAnsi"/>
          <w:sz w:val="24"/>
          <w:szCs w:val="24"/>
        </w:rPr>
        <w:t xml:space="preserve"> atau </w:t>
      </w:r>
      <w:r>
        <w:rPr>
          <w:rFonts w:eastAsia="Book Antiqua" w:cs="Book Antiqua" w:asciiTheme="minorHAnsi" w:hAnsiTheme="minorHAnsi"/>
          <w:i/>
          <w:sz w:val="24"/>
          <w:szCs w:val="24"/>
        </w:rPr>
        <w:t>live streaming platform</w:t>
      </w:r>
      <w:r>
        <w:rPr>
          <w:rFonts w:eastAsia="Book Antiqua" w:cs="Book Antiqua" w:asciiTheme="minorHAnsi" w:hAnsiTheme="minorHAnsi"/>
          <w:sz w:val="24"/>
          <w:szCs w:val="24"/>
        </w:rPr>
        <w:t xml:space="preserve"> lainnya untuk mengikuti kajian. Ini adalah satu hal yang memudahkan kita bahwa </w:t>
      </w:r>
      <w:r>
        <w:rPr>
          <w:rFonts w:eastAsia="Book Antiqua" w:cs="Book Antiqua" w:asciiTheme="minorHAnsi" w:hAnsiTheme="minorHAnsi"/>
          <w:i/>
          <w:sz w:val="24"/>
          <w:szCs w:val="24"/>
        </w:rPr>
        <w:t>platform</w:t>
      </w:r>
      <w:r>
        <w:rPr>
          <w:rFonts w:eastAsia="Book Antiqua" w:cs="Book Antiqua" w:asciiTheme="minorHAnsi" w:hAnsiTheme="minorHAnsi"/>
          <w:sz w:val="24"/>
          <w:szCs w:val="24"/>
        </w:rPr>
        <w:t xml:space="preserve"> digital tidaklah seburuk itu jika kita menggunakannya dengan bijak</w:t>
      </w:r>
      <w:r>
        <w:rPr>
          <w:rStyle w:val="10"/>
          <w:rFonts w:eastAsia="Book Antiqua" w:cs="Book Antiqua" w:asciiTheme="minorHAnsi" w:hAnsiTheme="minorHAnsi"/>
          <w:sz w:val="24"/>
          <w:szCs w:val="24"/>
        </w:rPr>
        <w:footnoteReference w:id="31"/>
      </w:r>
      <w:r>
        <w:rPr>
          <w:rFonts w:eastAsia="Book Antiqua" w:cs="Book Antiqua" w:asciiTheme="minorHAnsi" w:hAnsiTheme="minorHAnsi"/>
          <w:sz w:val="24"/>
          <w:szCs w:val="24"/>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jc w:val="both"/>
        <w:rPr>
          <w:rFonts w:eastAsia="Book Antiqua" w:cs="Book Antiqua" w:asciiTheme="minorHAnsi" w:hAnsiTheme="minorHAnsi"/>
          <w:b/>
          <w:color w:val="000000"/>
          <w:sz w:val="24"/>
          <w:szCs w:val="24"/>
        </w:rPr>
      </w:pPr>
      <w:r>
        <w:rPr>
          <w:rFonts w:eastAsia="Book Antiqua" w:cs="Book Antiqua" w:asciiTheme="minorHAnsi" w:hAnsiTheme="minorHAnsi"/>
          <w:b/>
          <w:sz w:val="24"/>
          <w:szCs w:val="24"/>
        </w:rPr>
        <w:t xml:space="preserve">Optimasi Platform Digital yang Digunakan </w:t>
      </w:r>
      <w:r>
        <w:rPr>
          <w:rFonts w:eastAsia="Book Antiqua" w:cs="Book Antiqua" w:asciiTheme="minorHAnsi" w:hAnsiTheme="minorHAnsi"/>
          <w:b/>
          <w:color w:val="000000"/>
          <w:sz w:val="24"/>
          <w:szCs w:val="24"/>
        </w:rPr>
        <w:t xml:space="preserve">di Masa Transformasi Pendidikan Islam </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asciiTheme="minorHAnsi" w:hAnsiTheme="minorHAnsi"/>
          <w:sz w:val="24"/>
          <w:szCs w:val="24"/>
        </w:rPr>
        <w:t xml:space="preserve">Di dalam Kamus Besar Bahasa Indonesia (KBBI), optimasi atau optimalisasi diperoleh dari kata optimal yang memiliki arti tertinggi atau tertinggi (KBBI, 2016). Sementara optimasi adalah sebuah proses dalam mengoptimalkan sesuatu, dengan makna lain proses meningkatkan sesuatu menjadi yang terbaik. Jadi, pengertian optimasi yaitu langkah-langkah atau metode untuk mengoptimalkan. Makna kata optimasi di dalam penelitian ini adalah usaha, langkah atau metode yang digunakan dalam rangka optimalisasi sistem </w:t>
      </w:r>
      <w:r>
        <w:rPr>
          <w:rFonts w:asciiTheme="minorHAnsi" w:hAnsiTheme="minorHAnsi"/>
          <w:i/>
          <w:iCs/>
          <w:sz w:val="24"/>
          <w:szCs w:val="24"/>
        </w:rPr>
        <w:t>platform</w:t>
      </w:r>
      <w:r>
        <w:rPr>
          <w:rFonts w:asciiTheme="minorHAnsi" w:hAnsiTheme="minorHAnsi"/>
          <w:sz w:val="24"/>
          <w:szCs w:val="24"/>
        </w:rPr>
        <w:t xml:space="preserve"> digital dalam pendidikan Islam</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asciiTheme="minorHAnsi" w:hAnsiTheme="minorHAnsi"/>
          <w:sz w:val="24"/>
          <w:szCs w:val="24"/>
        </w:rPr>
        <w:t xml:space="preserve">Kondisi pandemi ini berdampak langsung dalam dunia pendidikan sehingga harus mengubah sistem pembelajaran. Hampir seluruh institusi pendidikan baik yang formal ataupun non formal kompak memberhentikan pembelajaran tatap muka karena beresiko besar menyebabkan penyebaran </w:t>
      </w:r>
      <w:r>
        <w:rPr>
          <w:rFonts w:asciiTheme="minorHAnsi" w:hAnsiTheme="minorHAnsi"/>
          <w:i/>
          <w:iCs/>
          <w:sz w:val="24"/>
          <w:szCs w:val="24"/>
        </w:rPr>
        <w:t>Covid-19</w:t>
      </w:r>
      <w:r>
        <w:rPr>
          <w:rFonts w:asciiTheme="minorHAnsi" w:hAnsiTheme="minorHAnsi"/>
          <w:sz w:val="24"/>
          <w:szCs w:val="24"/>
        </w:rPr>
        <w:t xml:space="preserve"> dan solusinya yakni dengan beralih mengaplikasikan model pembelajaran online</w:t>
      </w:r>
      <w:r>
        <w:rPr>
          <w:rStyle w:val="10"/>
          <w:rFonts w:asciiTheme="minorHAnsi" w:hAnsiTheme="minorHAnsi"/>
          <w:sz w:val="24"/>
          <w:szCs w:val="24"/>
        </w:rPr>
        <w:footnoteReference w:id="32"/>
      </w:r>
      <w:r>
        <w:rPr>
          <w:rFonts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asciiTheme="minorHAnsi" w:hAnsiTheme="minorHAnsi"/>
          <w:sz w:val="24"/>
          <w:szCs w:val="24"/>
        </w:rPr>
        <w:t xml:space="preserve">Banyak fasilitas dari berbagai </w:t>
      </w:r>
      <w:r>
        <w:rPr>
          <w:rFonts w:asciiTheme="minorHAnsi" w:hAnsiTheme="minorHAnsi"/>
          <w:i/>
          <w:sz w:val="24"/>
          <w:szCs w:val="24"/>
        </w:rPr>
        <w:t>platform digital</w:t>
      </w:r>
      <w:r>
        <w:rPr>
          <w:rFonts w:asciiTheme="minorHAnsi" w:hAnsiTheme="minorHAnsi"/>
          <w:sz w:val="24"/>
          <w:szCs w:val="24"/>
        </w:rPr>
        <w:t xml:space="preserve"> untuk mendukung pembelajaran online menjadi Jalan Tengah untuk menggantikan pertemuan tatap muka dengan pertemuan secara virtual. Pemanfaatan media sosial juga digunakan untuk mengoptimalkan pembelajaran online, seperti penggunaan </w:t>
      </w:r>
      <w:r>
        <w:rPr>
          <w:rFonts w:asciiTheme="minorHAnsi" w:hAnsiTheme="minorHAnsi"/>
          <w:i/>
          <w:sz w:val="24"/>
          <w:szCs w:val="24"/>
        </w:rPr>
        <w:t>Youtube, Instagram, WhatsApp,</w:t>
      </w:r>
      <w:r>
        <w:rPr>
          <w:rFonts w:asciiTheme="minorHAnsi" w:hAnsiTheme="minorHAnsi"/>
          <w:sz w:val="24"/>
          <w:szCs w:val="24"/>
        </w:rPr>
        <w:t xml:space="preserve"> dan lain sebagainya. Banyak cara pembelajaran online yang bisa digunakan untuk menyesuaikan diri dengan pandemi, namun ada masalah atau kendala yang muncul, seperti kendala jaringan yang tidak berjalan stabil</w:t>
      </w:r>
      <w:r>
        <w:rPr>
          <w:rStyle w:val="10"/>
          <w:rFonts w:asciiTheme="minorHAnsi" w:hAnsiTheme="minorHAnsi"/>
          <w:sz w:val="24"/>
          <w:szCs w:val="24"/>
        </w:rPr>
        <w:footnoteReference w:id="33"/>
      </w:r>
      <w:r>
        <w:rPr>
          <w:rFonts w:asciiTheme="minorHAnsi" w:hAnsiTheme="minorHAnsi"/>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720"/>
        <w:jc w:val="both"/>
        <w:rPr>
          <w:rFonts w:eastAsia="Book Antiqua" w:cs="Book Antiqua" w:asciiTheme="minorHAnsi" w:hAnsiTheme="minorHAnsi"/>
          <w:b/>
          <w:color w:val="000000"/>
          <w:sz w:val="24"/>
          <w:szCs w:val="24"/>
        </w:rPr>
      </w:pPr>
      <w:r>
        <w:rPr>
          <w:rFonts w:asciiTheme="minorHAnsi" w:hAnsiTheme="minorHAnsi"/>
          <w:sz w:val="24"/>
          <w:szCs w:val="24"/>
        </w:rPr>
        <w:t xml:space="preserve">Kemendiknas nomor 36962/MPK.A/HK/2020 memaklumatkan bahwa seluruh aktivitas pembelajaran dilaksanakan secara online dari rumah teruntuk peserta didik, dan pendidik dapat menjalankan kegiatan belajar mengajar melalui dokumen digital, </w:t>
      </w:r>
      <w:r>
        <w:rPr>
          <w:rFonts w:asciiTheme="minorHAnsi" w:hAnsiTheme="minorHAnsi"/>
          <w:i/>
          <w:sz w:val="24"/>
          <w:szCs w:val="24"/>
        </w:rPr>
        <w:t>video conference</w:t>
      </w:r>
      <w:r>
        <w:rPr>
          <w:rFonts w:asciiTheme="minorHAnsi" w:hAnsiTheme="minorHAnsi"/>
          <w:sz w:val="24"/>
          <w:szCs w:val="24"/>
        </w:rPr>
        <w:t xml:space="preserve">, dan fasilitas online lainnya. Ada beragam metode pembelajaran online yang dapat digunakan oleh pendidik dan peserta didik dengan beragam fitur diantaranya </w:t>
      </w:r>
      <w:r>
        <w:rPr>
          <w:rFonts w:asciiTheme="minorHAnsi" w:hAnsiTheme="minorHAnsi"/>
          <w:i/>
          <w:sz w:val="24"/>
          <w:szCs w:val="24"/>
        </w:rPr>
        <w:t>Microsoft Office</w:t>
      </w:r>
      <w:r>
        <w:rPr>
          <w:rFonts w:asciiTheme="minorHAnsi" w:hAnsiTheme="minorHAnsi"/>
          <w:sz w:val="24"/>
          <w:szCs w:val="24"/>
        </w:rPr>
        <w:t>, ruang belajar, ruang kelas pintar,</w:t>
      </w:r>
      <w:r>
        <w:rPr>
          <w:rFonts w:asciiTheme="minorHAnsi" w:hAnsiTheme="minorHAnsi"/>
          <w:i/>
          <w:sz w:val="24"/>
          <w:szCs w:val="24"/>
        </w:rPr>
        <w:t xml:space="preserve"> Ruangguru</w:t>
      </w:r>
      <w:r>
        <w:rPr>
          <w:rFonts w:asciiTheme="minorHAnsi" w:hAnsiTheme="minorHAnsi"/>
          <w:sz w:val="24"/>
          <w:szCs w:val="24"/>
        </w:rPr>
        <w:t xml:space="preserve">, </w:t>
      </w:r>
      <w:r>
        <w:rPr>
          <w:rFonts w:asciiTheme="minorHAnsi" w:hAnsiTheme="minorHAnsi"/>
          <w:i/>
          <w:sz w:val="24"/>
          <w:szCs w:val="24"/>
        </w:rPr>
        <w:t>Zenius</w:t>
      </w:r>
      <w:r>
        <w:rPr>
          <w:rFonts w:asciiTheme="minorHAnsi" w:hAnsiTheme="minorHAnsi"/>
          <w:sz w:val="24"/>
          <w:szCs w:val="24"/>
        </w:rPr>
        <w:t xml:space="preserve">, dan lain sebagainya. Kemendikbud juga menjalin kerjasama dengan berbagai pihak, termasuk menjalin kerjasama dengan pihak swasta dalam mengatasi pembelajaran online ini. Berikut beberapa </w:t>
      </w:r>
      <w:r>
        <w:rPr>
          <w:rFonts w:asciiTheme="minorHAnsi" w:hAnsiTheme="minorHAnsi"/>
          <w:i/>
          <w:sz w:val="24"/>
          <w:szCs w:val="24"/>
        </w:rPr>
        <w:t xml:space="preserve">platform </w:t>
      </w:r>
      <w:r>
        <w:rPr>
          <w:rFonts w:asciiTheme="minorHAnsi" w:hAnsiTheme="minorHAnsi"/>
          <w:sz w:val="24"/>
          <w:szCs w:val="24"/>
        </w:rPr>
        <w:t>digital yang dapat dimanfaatkan untuk membantu memfasilitasi peserta didik dalam pembelajaran online</w:t>
      </w:r>
      <w:r>
        <w:rPr>
          <w:rStyle w:val="10"/>
          <w:rFonts w:asciiTheme="minorHAnsi" w:hAnsiTheme="minorHAnsi"/>
          <w:sz w:val="24"/>
          <w:szCs w:val="24"/>
        </w:rPr>
        <w:footnoteReference w:id="34"/>
      </w:r>
      <w:r>
        <w:rPr>
          <w:rFonts w:asciiTheme="minorHAnsi" w:hAnsiTheme="minorHAnsi"/>
          <w:sz w:val="24"/>
          <w:szCs w:val="24"/>
        </w:rPr>
        <w:t>.</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i/>
          <w:sz w:val="24"/>
          <w:szCs w:val="24"/>
        </w:rPr>
      </w:pPr>
      <w:r>
        <w:rPr>
          <w:rFonts w:asciiTheme="minorHAnsi" w:hAnsiTheme="minorHAnsi"/>
          <w:i/>
          <w:sz w:val="24"/>
          <w:szCs w:val="24"/>
        </w:rPr>
        <w:t xml:space="preserve">Google for Education </w:t>
      </w:r>
    </w:p>
    <w:p>
      <w:pPr>
        <w:pBdr>
          <w:top w:val="none" w:color="auto" w:sz="0" w:space="0"/>
          <w:left w:val="none" w:color="auto" w:sz="0" w:space="0"/>
          <w:bottom w:val="none" w:color="auto" w:sz="0" w:space="0"/>
          <w:right w:val="none" w:color="auto" w:sz="0" w:space="0"/>
          <w:between w:val="none" w:color="auto" w:sz="0" w:space="0"/>
        </w:pBdr>
        <w:spacing w:line="360" w:lineRule="auto"/>
        <w:ind w:left="1440"/>
        <w:jc w:val="both"/>
        <w:rPr>
          <w:rFonts w:asciiTheme="minorHAnsi" w:hAnsiTheme="minorHAnsi"/>
          <w:i/>
          <w:sz w:val="24"/>
          <w:szCs w:val="24"/>
        </w:rPr>
      </w:pPr>
      <w:r>
        <w:rPr>
          <w:rFonts w:asciiTheme="minorHAnsi" w:hAnsiTheme="minorHAnsi"/>
          <w:i/>
          <w:sz w:val="24"/>
          <w:szCs w:val="24"/>
        </w:rPr>
        <w:t xml:space="preserve">Google for education </w:t>
      </w:r>
      <w:r>
        <w:rPr>
          <w:rFonts w:asciiTheme="minorHAnsi" w:hAnsiTheme="minorHAnsi"/>
          <w:sz w:val="24"/>
          <w:szCs w:val="24"/>
        </w:rPr>
        <w:t xml:space="preserve">merupakan program yang menawarkan layanan penggunaan </w:t>
      </w:r>
      <w:r>
        <w:rPr>
          <w:rFonts w:asciiTheme="minorHAnsi" w:hAnsiTheme="minorHAnsi"/>
          <w:i/>
          <w:sz w:val="24"/>
          <w:szCs w:val="24"/>
        </w:rPr>
        <w:t>G-suite</w:t>
      </w:r>
      <w:r>
        <w:rPr>
          <w:rFonts w:asciiTheme="minorHAnsi" w:hAnsiTheme="minorHAnsi"/>
          <w:sz w:val="24"/>
          <w:szCs w:val="24"/>
        </w:rPr>
        <w:t xml:space="preserve"> dan</w:t>
      </w:r>
      <w:r>
        <w:rPr>
          <w:rFonts w:asciiTheme="minorHAnsi" w:hAnsiTheme="minorHAnsi"/>
          <w:i/>
          <w:sz w:val="24"/>
          <w:szCs w:val="24"/>
        </w:rPr>
        <w:t xml:space="preserve"> Chromebook </w:t>
      </w:r>
      <w:r>
        <w:rPr>
          <w:rFonts w:asciiTheme="minorHAnsi" w:hAnsiTheme="minorHAnsi"/>
          <w:sz w:val="24"/>
          <w:szCs w:val="24"/>
        </w:rPr>
        <w:t>yang memungkinkan mendukung pembelajaran digital dengan konektivitas internet rendah.</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eastAsia="Book Antiqua" w:cs="Book Antiqua" w:asciiTheme="minorHAnsi" w:hAnsiTheme="minorHAnsi"/>
          <w:i/>
          <w:sz w:val="24"/>
          <w:szCs w:val="24"/>
        </w:rPr>
      </w:pPr>
      <w:r>
        <w:rPr>
          <w:rFonts w:eastAsia="Book Antiqua" w:cs="Book Antiqua" w:asciiTheme="minorHAnsi" w:hAnsiTheme="minorHAnsi"/>
          <w:i/>
          <w:sz w:val="24"/>
          <w:szCs w:val="24"/>
        </w:rPr>
        <w:t>Smart Class</w:t>
      </w:r>
    </w:p>
    <w:p>
      <w:pPr>
        <w:pBdr>
          <w:top w:val="none" w:color="auto" w:sz="0" w:space="0"/>
          <w:left w:val="none" w:color="auto" w:sz="0" w:space="0"/>
          <w:bottom w:val="none" w:color="auto" w:sz="0" w:space="0"/>
          <w:right w:val="none" w:color="auto" w:sz="0" w:space="0"/>
          <w:between w:val="none" w:color="auto" w:sz="0" w:space="0"/>
        </w:pBdr>
        <w:spacing w:line="360" w:lineRule="auto"/>
        <w:ind w:left="1440"/>
        <w:jc w:val="both"/>
        <w:rPr>
          <w:rFonts w:eastAsia="Book Antiqua" w:cs="Book Antiqua" w:asciiTheme="minorHAnsi" w:hAnsiTheme="minorHAnsi"/>
          <w:i/>
          <w:sz w:val="24"/>
          <w:szCs w:val="24"/>
        </w:rPr>
      </w:pPr>
      <w:r>
        <w:rPr>
          <w:rFonts w:eastAsia="Book Antiqua" w:cs="Book Antiqua" w:asciiTheme="minorHAnsi" w:hAnsiTheme="minorHAnsi"/>
          <w:i/>
          <w:sz w:val="24"/>
          <w:szCs w:val="24"/>
        </w:rPr>
        <w:t xml:space="preserve">Smart Class </w:t>
      </w:r>
      <w:r>
        <w:rPr>
          <w:rFonts w:asciiTheme="minorHAnsi" w:hAnsiTheme="minorHAnsi"/>
          <w:sz w:val="24"/>
          <w:szCs w:val="24"/>
        </w:rPr>
        <w:t>adalah salah satu penyediaan penawaran layanan gadget dengan bantuan tutorial yang memanfaatkan teknologi modern untuk menunjang pembelajaran peserta didik dan pengajar dalam menciptakan media pembelajaran yang baik.</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eastAsia="Book Antiqua" w:cs="Book Antiqua" w:asciiTheme="minorHAnsi" w:hAnsiTheme="minorHAnsi"/>
          <w:i/>
          <w:sz w:val="24"/>
          <w:szCs w:val="24"/>
        </w:rPr>
      </w:pPr>
      <w:r>
        <w:rPr>
          <w:rFonts w:eastAsia="Book Antiqua" w:cs="Book Antiqua" w:asciiTheme="minorHAnsi" w:hAnsiTheme="minorHAnsi"/>
          <w:i/>
          <w:sz w:val="24"/>
          <w:szCs w:val="24"/>
        </w:rPr>
        <w:t>Microsoft Office 365</w:t>
      </w:r>
    </w:p>
    <w:p>
      <w:pPr>
        <w:pBdr>
          <w:top w:val="none" w:color="auto" w:sz="0" w:space="0"/>
          <w:left w:val="none" w:color="auto" w:sz="0" w:space="0"/>
          <w:bottom w:val="none" w:color="auto" w:sz="0" w:space="0"/>
          <w:right w:val="none" w:color="auto" w:sz="0" w:space="0"/>
          <w:between w:val="none" w:color="auto" w:sz="0" w:space="0"/>
        </w:pBdr>
        <w:spacing w:line="360" w:lineRule="auto"/>
        <w:ind w:left="1440"/>
        <w:jc w:val="both"/>
        <w:rPr>
          <w:rFonts w:eastAsia="Book Antiqua" w:cs="Book Antiqua" w:asciiTheme="minorHAnsi" w:hAnsiTheme="minorHAnsi"/>
          <w:i/>
          <w:sz w:val="24"/>
          <w:szCs w:val="24"/>
        </w:rPr>
      </w:pPr>
      <w:r>
        <w:rPr>
          <w:rFonts w:eastAsia="Book Antiqua" w:cs="Book Antiqua" w:asciiTheme="minorHAnsi" w:hAnsiTheme="minorHAnsi"/>
          <w:sz w:val="24"/>
          <w:szCs w:val="24"/>
        </w:rPr>
        <w:t xml:space="preserve">Memberikan </w:t>
      </w:r>
      <w:r>
        <w:rPr>
          <w:rFonts w:asciiTheme="minorHAnsi" w:hAnsiTheme="minorHAnsi"/>
          <w:sz w:val="24"/>
          <w:szCs w:val="24"/>
        </w:rPr>
        <w:t xml:space="preserve">penawaran layanan yang dapat dipergunakan oleh pengajar dan peserta didik secara gratis. </w:t>
      </w:r>
      <w:r>
        <w:rPr>
          <w:rFonts w:asciiTheme="minorHAnsi" w:hAnsiTheme="minorHAnsi"/>
          <w:i/>
          <w:sz w:val="24"/>
          <w:szCs w:val="24"/>
        </w:rPr>
        <w:t xml:space="preserve">Office 365 </w:t>
      </w:r>
      <w:r>
        <w:rPr>
          <w:rFonts w:asciiTheme="minorHAnsi" w:hAnsiTheme="minorHAnsi"/>
          <w:sz w:val="24"/>
          <w:szCs w:val="24"/>
        </w:rPr>
        <w:t xml:space="preserve">menggunakan akses masuk yang diperbaharui dari waktu ke waktu secara </w:t>
      </w:r>
      <w:r>
        <w:rPr>
          <w:rFonts w:asciiTheme="minorHAnsi" w:hAnsiTheme="minorHAnsi"/>
          <w:i/>
          <w:sz w:val="24"/>
          <w:szCs w:val="24"/>
        </w:rPr>
        <w:t xml:space="preserve">Real Time </w:t>
      </w:r>
      <w:r>
        <w:rPr>
          <w:rFonts w:asciiTheme="minorHAnsi" w:hAnsiTheme="minorHAnsi"/>
          <w:sz w:val="24"/>
          <w:szCs w:val="24"/>
        </w:rPr>
        <w:t>yang terkini bersama dengan</w:t>
      </w:r>
      <w:r>
        <w:rPr>
          <w:rFonts w:asciiTheme="minorHAnsi" w:hAnsiTheme="minorHAnsi"/>
          <w:i/>
          <w:sz w:val="24"/>
          <w:szCs w:val="24"/>
        </w:rPr>
        <w:t xml:space="preserve"> Excel, Powerpoint, Word, Microsoft teams, OneNote, dan </w:t>
      </w:r>
      <w:r>
        <w:rPr>
          <w:rFonts w:asciiTheme="minorHAnsi" w:hAnsiTheme="minorHAnsi"/>
          <w:sz w:val="24"/>
          <w:szCs w:val="24"/>
        </w:rPr>
        <w:t xml:space="preserve"> kemampuan ruang fitur lainnya. Untuk mengaksesnya peserta didik dan guru hanya perlu mempersiapkan alamat email dengan domain sekolah.</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eastAsia="Book Antiqua" w:cs="Book Antiqua" w:asciiTheme="minorHAnsi" w:hAnsiTheme="minorHAnsi"/>
          <w:i/>
          <w:sz w:val="24"/>
          <w:szCs w:val="24"/>
        </w:rPr>
      </w:pPr>
      <w:r>
        <w:rPr>
          <w:rFonts w:eastAsia="Book Antiqua" w:cs="Book Antiqua" w:asciiTheme="minorHAnsi" w:hAnsiTheme="minorHAnsi"/>
          <w:i/>
          <w:sz w:val="24"/>
          <w:szCs w:val="24"/>
        </w:rPr>
        <w:t>Zenius</w:t>
      </w:r>
    </w:p>
    <w:p>
      <w:pPr>
        <w:pBdr>
          <w:top w:val="none" w:color="auto" w:sz="0" w:space="0"/>
          <w:left w:val="none" w:color="auto" w:sz="0" w:space="0"/>
          <w:bottom w:val="none" w:color="auto" w:sz="0" w:space="0"/>
          <w:right w:val="none" w:color="auto" w:sz="0" w:space="0"/>
          <w:between w:val="none" w:color="auto" w:sz="0" w:space="0"/>
        </w:pBdr>
        <w:spacing w:line="360" w:lineRule="auto"/>
        <w:ind w:left="1440"/>
        <w:jc w:val="both"/>
        <w:rPr>
          <w:rFonts w:eastAsia="Book Antiqua" w:cs="Book Antiqua" w:asciiTheme="minorHAnsi" w:hAnsiTheme="minorHAnsi"/>
          <w:i/>
          <w:sz w:val="24"/>
          <w:szCs w:val="24"/>
        </w:rPr>
      </w:pPr>
      <w:r>
        <w:rPr>
          <w:rFonts w:eastAsia="Book Antiqua" w:cs="Book Antiqua" w:asciiTheme="minorHAnsi" w:hAnsiTheme="minorHAnsi"/>
          <w:i/>
          <w:sz w:val="24"/>
          <w:szCs w:val="24"/>
        </w:rPr>
        <w:t>Zenius</w:t>
      </w:r>
      <w:r>
        <w:rPr>
          <w:rFonts w:eastAsia="Book Antiqua" w:cs="Book Antiqua" w:asciiTheme="minorHAnsi" w:hAnsiTheme="minorHAnsi"/>
          <w:sz w:val="24"/>
          <w:szCs w:val="24"/>
        </w:rPr>
        <w:t xml:space="preserve"> menyajikan puluhan ribu video lengkap berisi materi pembelajaran yang mulai dari jenjang SD, SMP, dan SMA serta tersedia kurikulum KTSP, kurikulum 13, kurikulum revisi 2013 (</w:t>
      </w:r>
      <w:r>
        <w:fldChar w:fldCharType="begin"/>
      </w:r>
      <w:r>
        <w:instrText xml:space="preserve"> HYPERLINK "https://edukasi.kompas.com/" \h </w:instrText>
      </w:r>
      <w:r>
        <w:fldChar w:fldCharType="separate"/>
      </w:r>
      <w:r>
        <w:rPr>
          <w:rFonts w:eastAsia="Book Antiqua" w:cs="Book Antiqua" w:asciiTheme="minorHAnsi" w:hAnsiTheme="minorHAnsi"/>
          <w:sz w:val="24"/>
          <w:szCs w:val="24"/>
          <w:u w:val="single"/>
        </w:rPr>
        <w:t>https://edukasi.kompas.com</w:t>
      </w:r>
      <w:r>
        <w:rPr>
          <w:rFonts w:eastAsia="Book Antiqua" w:cs="Book Antiqua" w:asciiTheme="minorHAnsi" w:hAnsiTheme="minorHAnsi"/>
          <w:sz w:val="24"/>
          <w:szCs w:val="24"/>
          <w:u w:val="single"/>
        </w:rPr>
        <w:fldChar w:fldCharType="end"/>
      </w:r>
      <w:r>
        <w:rPr>
          <w:rFonts w:eastAsia="Book Antiqua" w:cs="Book Antiqua" w:asciiTheme="minorHAnsi" w:hAnsiTheme="minorHAnsi"/>
          <w:sz w:val="24"/>
          <w:szCs w:val="24"/>
        </w:rPr>
        <w:t>) 22 Maret 2020. Dan Zenius juga mempunyai program studi mandiri di rumah bisa. Selain itu, masih banyak program lain yang dapat juga diakses oleh siswa dan pengajar dalam pembelajaran online.</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eastAsia="Book Antiqua" w:cs="Book Antiqua" w:asciiTheme="minorHAnsi" w:hAnsiTheme="minorHAnsi"/>
          <w:i/>
          <w:sz w:val="24"/>
          <w:szCs w:val="24"/>
        </w:rPr>
      </w:pPr>
      <w:r>
        <w:rPr>
          <w:rFonts w:eastAsia="Book Antiqua" w:cs="Book Antiqua" w:asciiTheme="minorHAnsi" w:hAnsiTheme="minorHAnsi"/>
          <w:i/>
          <w:sz w:val="24"/>
          <w:szCs w:val="24"/>
        </w:rPr>
        <w:t>Grup WhatsApp</w:t>
      </w:r>
    </w:p>
    <w:p>
      <w:pPr>
        <w:pBdr>
          <w:top w:val="none" w:color="auto" w:sz="0" w:space="0"/>
          <w:left w:val="none" w:color="auto" w:sz="0" w:space="0"/>
          <w:bottom w:val="none" w:color="auto" w:sz="0" w:space="0"/>
          <w:right w:val="none" w:color="auto" w:sz="0" w:space="0"/>
          <w:between w:val="none" w:color="auto" w:sz="0" w:space="0"/>
        </w:pBdr>
        <w:spacing w:line="360" w:lineRule="auto"/>
        <w:ind w:left="1440"/>
        <w:jc w:val="both"/>
        <w:rPr>
          <w:rFonts w:eastAsia="Book Antiqua" w:cs="Book Antiqua" w:asciiTheme="minorHAnsi" w:hAnsiTheme="minorHAnsi"/>
          <w:i/>
          <w:sz w:val="24"/>
          <w:szCs w:val="24"/>
        </w:rPr>
      </w:pPr>
      <w:r>
        <w:rPr>
          <w:rFonts w:eastAsia="Book Antiqua" w:cs="Book Antiqua" w:asciiTheme="minorHAnsi" w:hAnsiTheme="minorHAnsi"/>
          <w:sz w:val="24"/>
          <w:szCs w:val="24"/>
        </w:rPr>
        <w:t xml:space="preserve">Saat kebijakan pembelajaran daring pertama kali ditetapkan pada pertengahan Maret 2020, peserta didik sangat antusias mengikuti pembelajaran online. Maka dari itu, dibuatlah grup </w:t>
      </w:r>
      <w:r>
        <w:rPr>
          <w:rFonts w:eastAsia="Book Antiqua" w:cs="Book Antiqua" w:asciiTheme="minorHAnsi" w:hAnsiTheme="minorHAnsi"/>
          <w:i/>
          <w:sz w:val="24"/>
          <w:szCs w:val="24"/>
        </w:rPr>
        <w:t>WhatsApp</w:t>
      </w:r>
      <w:r>
        <w:rPr>
          <w:rFonts w:eastAsia="Book Antiqua" w:cs="Book Antiqua" w:asciiTheme="minorHAnsi" w:hAnsiTheme="minorHAnsi"/>
          <w:sz w:val="24"/>
          <w:szCs w:val="24"/>
        </w:rPr>
        <w:t xml:space="preserve"> yang mewakili setiap kelas. Kemudian materi pelajaran dan tugas dapat berupa </w:t>
      </w:r>
      <w:r>
        <w:rPr>
          <w:rFonts w:eastAsia="Book Antiqua" w:cs="Book Antiqua" w:asciiTheme="minorHAnsi" w:hAnsiTheme="minorHAnsi"/>
          <w:i/>
          <w:sz w:val="24"/>
          <w:szCs w:val="24"/>
        </w:rPr>
        <w:t>Text (Word/Exel),</w:t>
      </w:r>
      <w:r>
        <w:rPr>
          <w:rFonts w:eastAsia="Book Antiqua" w:cs="Book Antiqua" w:asciiTheme="minorHAnsi" w:hAnsiTheme="minorHAnsi"/>
          <w:sz w:val="24"/>
          <w:szCs w:val="24"/>
        </w:rPr>
        <w:t xml:space="preserve"> Gambar, Audio serta Video. </w:t>
      </w:r>
      <w:r>
        <w:rPr>
          <w:rFonts w:asciiTheme="minorHAnsi" w:hAnsiTheme="minorHAnsi"/>
          <w:sz w:val="24"/>
          <w:szCs w:val="24"/>
        </w:rPr>
        <w:t xml:space="preserve">Adapun kendala dan kelemahan </w:t>
      </w:r>
      <w:r>
        <w:rPr>
          <w:rFonts w:asciiTheme="minorHAnsi" w:hAnsiTheme="minorHAnsi"/>
          <w:i/>
          <w:sz w:val="24"/>
          <w:szCs w:val="24"/>
        </w:rPr>
        <w:t>platform</w:t>
      </w:r>
      <w:r>
        <w:rPr>
          <w:rFonts w:asciiTheme="minorHAnsi" w:hAnsiTheme="minorHAnsi"/>
          <w:sz w:val="24"/>
          <w:szCs w:val="24"/>
        </w:rPr>
        <w:t xml:space="preserve"> </w:t>
      </w:r>
      <w:r>
        <w:rPr>
          <w:rFonts w:asciiTheme="minorHAnsi" w:hAnsiTheme="minorHAnsi"/>
          <w:i/>
          <w:sz w:val="24"/>
          <w:szCs w:val="24"/>
        </w:rPr>
        <w:t>WhatsApp</w:t>
      </w:r>
      <w:r>
        <w:rPr>
          <w:rFonts w:asciiTheme="minorHAnsi" w:hAnsiTheme="minorHAnsi"/>
          <w:sz w:val="24"/>
          <w:szCs w:val="24"/>
        </w:rPr>
        <w:t xml:space="preserve"> yakni komunikasinya yang kurang responsif, karena hanya komunikasi satu arah sehingga materi pembelajaran tersampaikan secara kurang maksimal, kemudian akibatnya yaitu tidak adanya</w:t>
      </w:r>
      <w:r>
        <w:rPr>
          <w:rFonts w:asciiTheme="minorHAnsi" w:hAnsiTheme="minorHAnsi"/>
          <w:i/>
          <w:sz w:val="24"/>
          <w:szCs w:val="24"/>
        </w:rPr>
        <w:t xml:space="preserve"> feedback</w:t>
      </w:r>
      <w:r>
        <w:rPr>
          <w:rFonts w:asciiTheme="minorHAnsi" w:hAnsiTheme="minorHAnsi"/>
          <w:sz w:val="24"/>
          <w:szCs w:val="24"/>
        </w:rPr>
        <w:t xml:space="preserve"> dari peserta didik</w:t>
      </w:r>
    </w:p>
    <w:p>
      <w:pPr>
        <w:pBdr>
          <w:top w:val="none" w:color="auto" w:sz="0" w:space="0"/>
          <w:left w:val="none" w:color="auto" w:sz="0" w:space="0"/>
          <w:bottom w:val="none" w:color="auto" w:sz="0" w:space="0"/>
          <w:right w:val="none" w:color="auto" w:sz="0" w:space="0"/>
          <w:between w:val="none" w:color="auto" w:sz="0" w:space="0"/>
        </w:pBdr>
        <w:spacing w:line="360" w:lineRule="auto"/>
        <w:ind w:left="1440" w:firstLine="720"/>
        <w:jc w:val="both"/>
        <w:rPr>
          <w:rFonts w:eastAsia="Book Antiqua" w:cs="Book Antiqua" w:asciiTheme="minorHAnsi" w:hAnsiTheme="minorHAnsi"/>
          <w:i/>
          <w:sz w:val="24"/>
          <w:szCs w:val="24"/>
        </w:rPr>
      </w:pPr>
      <w:r>
        <w:rPr>
          <w:rFonts w:asciiTheme="minorHAnsi" w:hAnsiTheme="minorHAnsi"/>
          <w:sz w:val="24"/>
          <w:szCs w:val="24"/>
        </w:rPr>
        <w:t xml:space="preserve">Hal ini dapat diilihat pada pembelajaran PAI di mana materi yang diberikan berupa teori, praktek, dan hafalan. Akan tetapi pada kegiatan hafalan dan praktek mengalami kendala dikarenakan keterbatasan media dan pemahaman peserta didik. Sedangkan kelebihan grup </w:t>
      </w:r>
      <w:r>
        <w:rPr>
          <w:rFonts w:asciiTheme="minorHAnsi" w:hAnsiTheme="minorHAnsi"/>
          <w:i/>
          <w:sz w:val="24"/>
          <w:szCs w:val="24"/>
        </w:rPr>
        <w:t xml:space="preserve">Whatsapp </w:t>
      </w:r>
      <w:r>
        <w:rPr>
          <w:rFonts w:asciiTheme="minorHAnsi" w:hAnsiTheme="minorHAnsi"/>
          <w:sz w:val="24"/>
          <w:szCs w:val="24"/>
        </w:rPr>
        <w:t>yaitu koordinasinya yang efektif, karena setiap siswa dan guru mempunyai aplikasi ini di ponselnya, sehingga materi akan mudah didapatkan dan mudah tersampaikan</w:t>
      </w:r>
      <w:r>
        <w:rPr>
          <w:rStyle w:val="10"/>
          <w:rFonts w:asciiTheme="minorHAnsi" w:hAnsiTheme="minorHAnsi"/>
          <w:sz w:val="24"/>
          <w:szCs w:val="24"/>
        </w:rPr>
        <w:footnoteReference w:id="35"/>
      </w:r>
      <w:r>
        <w:rPr>
          <w:rFonts w:asciiTheme="minorHAnsi" w:hAnsiTheme="minorHAnsi"/>
          <w:sz w:val="24"/>
          <w:szCs w:val="24"/>
        </w:rPr>
        <w:t>.</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eastAsia="Book Antiqua" w:cs="Book Antiqua" w:asciiTheme="minorHAnsi" w:hAnsiTheme="minorHAnsi"/>
          <w:i/>
          <w:sz w:val="24"/>
          <w:szCs w:val="24"/>
        </w:rPr>
      </w:pPr>
      <w:r>
        <w:rPr>
          <w:rFonts w:eastAsia="Book Antiqua" w:cs="Book Antiqua" w:asciiTheme="minorHAnsi" w:hAnsiTheme="minorHAnsi"/>
          <w:i/>
          <w:sz w:val="24"/>
          <w:szCs w:val="24"/>
        </w:rPr>
        <w:t>Zoom Meeting</w:t>
      </w:r>
    </w:p>
    <w:p>
      <w:pPr>
        <w:pBdr>
          <w:top w:val="none" w:color="auto" w:sz="0" w:space="0"/>
          <w:left w:val="none" w:color="auto" w:sz="0" w:space="0"/>
          <w:bottom w:val="none" w:color="auto" w:sz="0" w:space="0"/>
          <w:right w:val="none" w:color="auto" w:sz="0" w:space="0"/>
          <w:between w:val="none" w:color="auto" w:sz="0" w:space="0"/>
        </w:pBdr>
        <w:spacing w:line="360" w:lineRule="auto"/>
        <w:ind w:left="1440"/>
        <w:jc w:val="both"/>
        <w:rPr>
          <w:rFonts w:eastAsia="Book Antiqua" w:cs="Book Antiqua" w:asciiTheme="minorHAnsi" w:hAnsiTheme="minorHAnsi"/>
          <w:i/>
          <w:sz w:val="24"/>
          <w:szCs w:val="24"/>
        </w:rPr>
      </w:pPr>
      <w:r>
        <w:rPr>
          <w:rFonts w:eastAsia="Book Antiqua" w:cs="Book Antiqua" w:asciiTheme="minorHAnsi" w:hAnsiTheme="minorHAnsi"/>
          <w:sz w:val="24"/>
          <w:szCs w:val="24"/>
        </w:rPr>
        <w:t xml:space="preserve">Merupakan perangkat lunak yang menghadirkan fasilitas untuk komunikasi tatap maya atau </w:t>
      </w:r>
      <w:r>
        <w:rPr>
          <w:rFonts w:eastAsia="Book Antiqua" w:cs="Book Antiqua" w:asciiTheme="minorHAnsi" w:hAnsiTheme="minorHAnsi"/>
          <w:i/>
          <w:sz w:val="24"/>
          <w:szCs w:val="24"/>
        </w:rPr>
        <w:t>virtual</w:t>
      </w:r>
      <w:r>
        <w:rPr>
          <w:rFonts w:eastAsia="Book Antiqua" w:cs="Book Antiqua" w:asciiTheme="minorHAnsi" w:hAnsiTheme="minorHAnsi"/>
          <w:sz w:val="24"/>
          <w:szCs w:val="24"/>
        </w:rPr>
        <w:t xml:space="preserve"> melalui </w:t>
      </w:r>
      <w:r>
        <w:rPr>
          <w:rFonts w:eastAsia="Book Antiqua" w:cs="Book Antiqua" w:asciiTheme="minorHAnsi" w:hAnsiTheme="minorHAnsi"/>
          <w:i/>
          <w:sz w:val="24"/>
          <w:szCs w:val="24"/>
        </w:rPr>
        <w:t>video conference</w:t>
      </w:r>
      <w:r>
        <w:rPr>
          <w:rFonts w:eastAsia="Book Antiqua" w:cs="Book Antiqua" w:asciiTheme="minorHAnsi" w:hAnsiTheme="minorHAnsi"/>
          <w:sz w:val="24"/>
          <w:szCs w:val="24"/>
        </w:rPr>
        <w:t xml:space="preserve"> dengan komputer, </w:t>
      </w:r>
      <w:r>
        <w:rPr>
          <w:rFonts w:eastAsia="Book Antiqua" w:cs="Book Antiqua" w:asciiTheme="minorHAnsi" w:hAnsiTheme="minorHAnsi"/>
          <w:i/>
          <w:sz w:val="24"/>
          <w:szCs w:val="24"/>
        </w:rPr>
        <w:t>smartphone</w:t>
      </w:r>
      <w:r>
        <w:rPr>
          <w:rFonts w:eastAsia="Book Antiqua" w:cs="Book Antiqua" w:asciiTheme="minorHAnsi" w:hAnsiTheme="minorHAnsi"/>
          <w:sz w:val="24"/>
          <w:szCs w:val="24"/>
        </w:rPr>
        <w:t xml:space="preserve">, atau laptop. </w:t>
      </w:r>
      <w:r>
        <w:rPr>
          <w:rFonts w:eastAsia="Book Antiqua" w:cs="Book Antiqua" w:asciiTheme="minorHAnsi" w:hAnsiTheme="minorHAnsi"/>
          <w:i/>
          <w:sz w:val="24"/>
          <w:szCs w:val="24"/>
        </w:rPr>
        <w:t xml:space="preserve">Zoom Meeting </w:t>
      </w:r>
      <w:r>
        <w:rPr>
          <w:rFonts w:eastAsia="Book Antiqua" w:cs="Book Antiqua" w:asciiTheme="minorHAnsi" w:hAnsiTheme="minorHAnsi"/>
          <w:sz w:val="24"/>
          <w:szCs w:val="24"/>
        </w:rPr>
        <w:t>adalah aplikasi yang berfungsi sebagai media komunikasi jarak jauh yang menyatukan kemampuan fitur</w:t>
      </w:r>
      <w:r>
        <w:rPr>
          <w:rFonts w:eastAsia="Book Antiqua" w:cs="Book Antiqua" w:asciiTheme="minorHAnsi" w:hAnsiTheme="minorHAnsi"/>
          <w:i/>
          <w:sz w:val="24"/>
          <w:szCs w:val="24"/>
        </w:rPr>
        <w:t xml:space="preserve"> chatting, video conference, </w:t>
      </w:r>
      <w:r>
        <w:rPr>
          <w:rFonts w:eastAsia="Book Antiqua" w:cs="Book Antiqua" w:asciiTheme="minorHAnsi" w:hAnsiTheme="minorHAnsi"/>
          <w:sz w:val="24"/>
          <w:szCs w:val="24"/>
        </w:rPr>
        <w:t xml:space="preserve">pertemuan online, serta kerjasama seluler. Penggunaan </w:t>
      </w:r>
      <w:r>
        <w:rPr>
          <w:rFonts w:eastAsia="Book Antiqua" w:cs="Book Antiqua" w:asciiTheme="minorHAnsi" w:hAnsiTheme="minorHAnsi"/>
          <w:i/>
          <w:sz w:val="24"/>
          <w:szCs w:val="24"/>
        </w:rPr>
        <w:t>video conference</w:t>
      </w:r>
      <w:r>
        <w:rPr>
          <w:rFonts w:eastAsia="Book Antiqua" w:cs="Book Antiqua" w:asciiTheme="minorHAnsi" w:hAnsiTheme="minorHAnsi"/>
          <w:sz w:val="24"/>
          <w:szCs w:val="24"/>
        </w:rPr>
        <w:t xml:space="preserve"> pada </w:t>
      </w:r>
      <w:r>
        <w:rPr>
          <w:rFonts w:eastAsia="Book Antiqua" w:cs="Book Antiqua" w:asciiTheme="minorHAnsi" w:hAnsiTheme="minorHAnsi"/>
          <w:i/>
          <w:sz w:val="24"/>
          <w:szCs w:val="24"/>
        </w:rPr>
        <w:t xml:space="preserve">Zoom Meeting </w:t>
      </w:r>
      <w:r>
        <w:rPr>
          <w:rFonts w:eastAsia="Book Antiqua" w:cs="Book Antiqua" w:asciiTheme="minorHAnsi" w:hAnsiTheme="minorHAnsi"/>
          <w:sz w:val="24"/>
          <w:szCs w:val="24"/>
        </w:rPr>
        <w:t>dapat menampung seribu peserta dalam satu ruang pertemuan</w:t>
      </w:r>
      <w:r>
        <w:rPr>
          <w:rFonts w:eastAsia="Book Antiqua" w:cs="Book Antiqua" w:asciiTheme="minorHAnsi" w:hAnsiTheme="minorHAnsi"/>
          <w:i/>
          <w:sz w:val="24"/>
          <w:szCs w:val="24"/>
        </w:rPr>
        <w:t>.</w:t>
      </w:r>
      <w:r>
        <w:rPr>
          <w:rFonts w:eastAsia="Book Antiqua" w:cs="Book Antiqua" w:asciiTheme="minorHAnsi" w:hAnsiTheme="minorHAnsi"/>
          <w:sz w:val="24"/>
          <w:szCs w:val="24"/>
        </w:rPr>
        <w:t xml:space="preserve"> </w:t>
      </w:r>
      <w:r>
        <w:rPr>
          <w:rFonts w:eastAsia="Book Antiqua" w:cs="Book Antiqua" w:asciiTheme="minorHAnsi" w:hAnsiTheme="minorHAnsi"/>
          <w:i/>
          <w:sz w:val="24"/>
          <w:szCs w:val="24"/>
        </w:rPr>
        <w:t>Software</w:t>
      </w:r>
      <w:r>
        <w:rPr>
          <w:rFonts w:eastAsia="Book Antiqua" w:cs="Book Antiqua" w:asciiTheme="minorHAnsi" w:hAnsiTheme="minorHAnsi"/>
          <w:sz w:val="24"/>
          <w:szCs w:val="24"/>
        </w:rPr>
        <w:t xml:space="preserve"> ini gratis diunduh, dengan berbagai jenis fitur termasuk panggilan, telepon, webinar, presentasi, serta fitur yang lainnya. </w:t>
      </w:r>
      <w:r>
        <w:rPr>
          <w:rFonts w:eastAsia="Book Antiqua" w:cs="Book Antiqua" w:asciiTheme="minorHAnsi" w:hAnsiTheme="minorHAnsi"/>
          <w:i/>
          <w:sz w:val="24"/>
          <w:szCs w:val="24"/>
        </w:rPr>
        <w:t>Zoom meeting</w:t>
      </w:r>
      <w:r>
        <w:rPr>
          <w:rFonts w:eastAsia="Book Antiqua" w:cs="Book Antiqua" w:asciiTheme="minorHAnsi" w:hAnsiTheme="minorHAnsi"/>
          <w:sz w:val="24"/>
          <w:szCs w:val="24"/>
        </w:rPr>
        <w:t xml:space="preserve"> dinilai memiliki kualitas kinerja yang baik</w:t>
      </w:r>
      <w:r>
        <w:rPr>
          <w:rStyle w:val="10"/>
          <w:rFonts w:eastAsia="Book Antiqua" w:cs="Book Antiqua" w:asciiTheme="minorHAnsi" w:hAnsiTheme="minorHAnsi"/>
          <w:sz w:val="24"/>
          <w:szCs w:val="24"/>
        </w:rPr>
        <w:footnoteReference w:id="36"/>
      </w:r>
      <w:r>
        <w:rPr>
          <w:rFonts w:eastAsia="Book Antiqua" w:cs="Book Antiqua"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left="1440" w:firstLine="720"/>
        <w:jc w:val="both"/>
        <w:rPr>
          <w:rFonts w:asciiTheme="minorHAnsi" w:hAnsiTheme="minorHAnsi"/>
          <w:sz w:val="24"/>
          <w:szCs w:val="24"/>
        </w:rPr>
      </w:pPr>
      <w:r>
        <w:rPr>
          <w:rFonts w:eastAsia="Book Antiqua" w:cs="Book Antiqua" w:asciiTheme="minorHAnsi" w:hAnsiTheme="minorHAnsi"/>
          <w:i/>
          <w:sz w:val="24"/>
          <w:szCs w:val="24"/>
        </w:rPr>
        <w:t>Video conference</w:t>
      </w:r>
      <w:r>
        <w:rPr>
          <w:rFonts w:eastAsia="Book Antiqua" w:cs="Book Antiqua" w:asciiTheme="minorHAnsi" w:hAnsiTheme="minorHAnsi"/>
          <w:sz w:val="24"/>
          <w:szCs w:val="24"/>
        </w:rPr>
        <w:t xml:space="preserve"> merupakan </w:t>
      </w:r>
      <w:r>
        <w:rPr>
          <w:rFonts w:eastAsia="Book Antiqua" w:cs="Book Antiqua" w:asciiTheme="minorHAnsi" w:hAnsiTheme="minorHAnsi"/>
          <w:i/>
          <w:sz w:val="24"/>
          <w:szCs w:val="24"/>
        </w:rPr>
        <w:t>platform</w:t>
      </w:r>
      <w:r>
        <w:rPr>
          <w:rFonts w:eastAsia="Book Antiqua" w:cs="Book Antiqua" w:asciiTheme="minorHAnsi" w:hAnsiTheme="minorHAnsi"/>
          <w:sz w:val="24"/>
          <w:szCs w:val="24"/>
        </w:rPr>
        <w:t xml:space="preserve"> untuk rapat atau pertemuan online dengan dilengkapi beberapa keamanan privasi dan perekaman lebih aman (Brahma, 2020). </w:t>
      </w:r>
      <w:r>
        <w:rPr>
          <w:rFonts w:eastAsia="Book Antiqua" w:cs="Book Antiqua" w:asciiTheme="minorHAnsi" w:hAnsiTheme="minorHAnsi"/>
          <w:i/>
          <w:sz w:val="24"/>
          <w:szCs w:val="24"/>
        </w:rPr>
        <w:t>Zoom meeting</w:t>
      </w:r>
      <w:r>
        <w:rPr>
          <w:rFonts w:eastAsia="Book Antiqua" w:cs="Book Antiqua" w:asciiTheme="minorHAnsi" w:hAnsiTheme="minorHAnsi"/>
          <w:sz w:val="24"/>
          <w:szCs w:val="24"/>
        </w:rPr>
        <w:t xml:space="preserve"> adalah layanan konferensi video yang mempunyai kemampuan sederhana untuk menciptakan suasana rapat online. Pengguna aktif </w:t>
      </w:r>
      <w:r>
        <w:rPr>
          <w:rFonts w:eastAsia="Book Antiqua" w:cs="Book Antiqua" w:asciiTheme="minorHAnsi" w:hAnsiTheme="minorHAnsi"/>
          <w:i/>
          <w:sz w:val="24"/>
          <w:szCs w:val="24"/>
        </w:rPr>
        <w:t>Zoom</w:t>
      </w:r>
      <w:r>
        <w:rPr>
          <w:rFonts w:eastAsia="Book Antiqua" w:cs="Book Antiqua" w:asciiTheme="minorHAnsi" w:hAnsiTheme="minorHAnsi"/>
          <w:sz w:val="24"/>
          <w:szCs w:val="24"/>
        </w:rPr>
        <w:t xml:space="preserve"> semakin tinggi sekitar  duapuluh dua juta per bulan semenjak pandemi </w:t>
      </w:r>
      <w:r>
        <w:rPr>
          <w:rFonts w:eastAsia="Book Antiqua" w:cs="Book Antiqua" w:asciiTheme="minorHAnsi" w:hAnsiTheme="minorHAnsi"/>
          <w:i/>
          <w:sz w:val="24"/>
          <w:szCs w:val="24"/>
        </w:rPr>
        <w:t>covid-19</w:t>
      </w:r>
      <w:r>
        <w:rPr>
          <w:rFonts w:eastAsia="Book Antiqua" w:cs="Book Antiqua" w:asciiTheme="minorHAnsi" w:hAnsiTheme="minorHAnsi"/>
          <w:sz w:val="24"/>
          <w:szCs w:val="24"/>
        </w:rPr>
        <w:t xml:space="preserve">, menyebar secara luas di dunia per maret 2020.  </w:t>
      </w:r>
      <w:r>
        <w:rPr>
          <w:rFonts w:eastAsia="Book Antiqua" w:cs="Book Antiqua" w:asciiTheme="minorHAnsi" w:hAnsiTheme="minorHAnsi"/>
          <w:i/>
          <w:sz w:val="24"/>
          <w:szCs w:val="24"/>
        </w:rPr>
        <w:t>Software</w:t>
      </w:r>
      <w:r>
        <w:rPr>
          <w:rFonts w:eastAsia="Book Antiqua" w:cs="Book Antiqua" w:asciiTheme="minorHAnsi" w:hAnsiTheme="minorHAnsi"/>
          <w:sz w:val="24"/>
          <w:szCs w:val="24"/>
        </w:rPr>
        <w:t xml:space="preserve"> berbayar ini dapat gratis menggunakan kapasitas penggunaan peserta maksimal 100 orang dan durasi nya dibatasi sekitar 40 menit.</w:t>
      </w:r>
      <w:r>
        <w:rPr>
          <w:rFonts w:eastAsia="Book Antiqua" w:cs="Book Antiqua" w:asciiTheme="minorHAnsi" w:hAnsiTheme="minorHAnsi"/>
          <w:i/>
          <w:sz w:val="24"/>
          <w:szCs w:val="24"/>
        </w:rPr>
        <w:t xml:space="preserve"> Software</w:t>
      </w:r>
      <w:r>
        <w:rPr>
          <w:rFonts w:eastAsia="Book Antiqua" w:cs="Book Antiqua" w:asciiTheme="minorHAnsi" w:hAnsiTheme="minorHAnsi"/>
          <w:sz w:val="24"/>
          <w:szCs w:val="24"/>
        </w:rPr>
        <w:t xml:space="preserve"> ini mempunyai fitur </w:t>
      </w:r>
      <w:r>
        <w:rPr>
          <w:rFonts w:eastAsia="Book Antiqua" w:cs="Book Antiqua" w:asciiTheme="minorHAnsi" w:hAnsiTheme="minorHAnsi"/>
          <w:i/>
          <w:iCs/>
          <w:sz w:val="24"/>
          <w:szCs w:val="24"/>
        </w:rPr>
        <w:t>share screen</w:t>
      </w:r>
      <w:r>
        <w:rPr>
          <w:rFonts w:eastAsia="Book Antiqua" w:cs="Book Antiqua" w:asciiTheme="minorHAnsi" w:hAnsiTheme="minorHAnsi"/>
          <w:sz w:val="24"/>
          <w:szCs w:val="24"/>
        </w:rPr>
        <w:t xml:space="preserve"> yang dapat memudahkan kebutuhan pembelajaran dalam penyajian materi pelajaran seperti pertemuan tatap muka di dalam kelas</w:t>
      </w:r>
      <w:r>
        <w:rPr>
          <w:rStyle w:val="10"/>
          <w:rFonts w:eastAsia="Book Antiqua" w:cs="Book Antiqua" w:asciiTheme="minorHAnsi" w:hAnsiTheme="minorHAnsi"/>
          <w:sz w:val="24"/>
          <w:szCs w:val="24"/>
        </w:rPr>
        <w:footnoteReference w:id="37"/>
      </w:r>
      <w:r>
        <w:rPr>
          <w:rFonts w:asciiTheme="minorHAnsi" w:hAnsiTheme="minorHAnsi"/>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left="1440" w:firstLine="720"/>
        <w:rPr>
          <w:rFonts w:eastAsia="Cambria" w:cs="Cambria" w:asciiTheme="minorHAnsi" w:hAnsiTheme="minorHAnsi"/>
          <w:b/>
          <w:sz w:val="24"/>
          <w:szCs w:val="24"/>
        </w:rPr>
      </w:pPr>
    </w:p>
    <w:p>
      <w:pPr>
        <w:pBdr>
          <w:top w:val="none" w:color="auto" w:sz="0" w:space="0"/>
          <w:left w:val="none" w:color="auto" w:sz="0" w:space="0"/>
          <w:bottom w:val="none" w:color="auto" w:sz="0" w:space="0"/>
          <w:right w:val="none" w:color="auto" w:sz="0" w:space="0"/>
          <w:between w:val="none" w:color="auto" w:sz="0" w:space="0"/>
        </w:pBdr>
        <w:spacing w:line="360" w:lineRule="auto"/>
        <w:ind w:left="1440" w:firstLine="720"/>
        <w:rPr>
          <w:rFonts w:eastAsia="Cambria" w:cs="Cambria" w:asciiTheme="minorHAnsi" w:hAnsiTheme="minorHAnsi"/>
          <w:b/>
          <w:sz w:val="24"/>
          <w:szCs w:val="24"/>
        </w:rPr>
      </w:pPr>
      <w:r>
        <w:rPr>
          <w:rFonts w:eastAsia="Cambria" w:cs="Cambria" w:asciiTheme="minorHAnsi" w:hAnsiTheme="minorHAnsi"/>
          <w:b/>
          <w:sz w:val="24"/>
          <w:szCs w:val="24"/>
        </w:rPr>
        <w:t>PENUTUP</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eastAsia="Book Antiqua" w:cs="Book Antiqua" w:asciiTheme="minorHAnsi" w:hAnsiTheme="minorHAnsi"/>
          <w:i/>
          <w:sz w:val="24"/>
          <w:szCs w:val="24"/>
        </w:rPr>
      </w:pPr>
      <w:r>
        <w:rPr>
          <w:rFonts w:asciiTheme="minorHAnsi" w:hAnsiTheme="minorHAnsi"/>
          <w:i/>
          <w:color w:val="000000"/>
          <w:sz w:val="24"/>
          <w:szCs w:val="24"/>
        </w:rPr>
        <w:t>Simpulan</w:t>
      </w:r>
    </w:p>
    <w:p>
      <w:pPr>
        <w:spacing w:line="360" w:lineRule="auto"/>
        <w:ind w:left="720" w:firstLine="720"/>
        <w:jc w:val="both"/>
        <w:rPr>
          <w:rFonts w:eastAsia="Book Antiqua" w:asciiTheme="minorHAnsi" w:hAnsiTheme="minorHAnsi"/>
          <w:sz w:val="24"/>
          <w:szCs w:val="24"/>
        </w:rPr>
      </w:pPr>
      <w:r>
        <w:rPr>
          <w:rFonts w:eastAsia="Book Antiqua" w:asciiTheme="minorHAnsi" w:hAnsiTheme="minorHAnsi"/>
          <w:sz w:val="24"/>
          <w:szCs w:val="24"/>
        </w:rPr>
        <w:t xml:space="preserve">Dilihat dari artikel diatas dapat disimpulkan bahwa dampak yang ditimbulkan karena </w:t>
      </w:r>
      <w:r>
        <w:rPr>
          <w:rFonts w:eastAsia="Book Antiqua" w:asciiTheme="minorHAnsi" w:hAnsiTheme="minorHAnsi"/>
          <w:i/>
          <w:iCs/>
          <w:sz w:val="24"/>
          <w:szCs w:val="24"/>
        </w:rPr>
        <w:t>Covid-19</w:t>
      </w:r>
      <w:r>
        <w:rPr>
          <w:rFonts w:eastAsia="Book Antiqua" w:asciiTheme="minorHAnsi" w:hAnsiTheme="minorHAnsi"/>
          <w:sz w:val="24"/>
          <w:szCs w:val="24"/>
        </w:rPr>
        <w:t xml:space="preserve"> telah merubah sistem kehidupan manusia yang mana disebut dengan masa tranmisi atau tranformasi. Di era digital pendidikan Islam hendaknya dikemas dalam bentuk digital karena masyarakat cenderung menggunakan teknologi sebagai alat informasi dan komunikasi, perangkat dan  platfrom digital memberikan kemudahan agar bisa mengakses segala informasi secara virtual. Adapun beberapa platfrom yang telah disediakan diantaranya </w:t>
      </w:r>
      <w:r>
        <w:rPr>
          <w:rFonts w:eastAsia="Book Antiqua" w:asciiTheme="minorHAnsi" w:hAnsiTheme="minorHAnsi"/>
          <w:i/>
          <w:iCs/>
          <w:sz w:val="24"/>
          <w:szCs w:val="24"/>
        </w:rPr>
        <w:t>Microsoft office 365, Smart class, Google For Education, Youtube, Whatsapp, Zoom dan Google meet</w:t>
      </w:r>
      <w:r>
        <w:rPr>
          <w:rFonts w:eastAsia="Book Antiqua" w:asciiTheme="minorHAnsi" w:hAnsiTheme="minorHAnsi"/>
          <w:sz w:val="24"/>
          <w:szCs w:val="24"/>
        </w:rPr>
        <w:t xml:space="preserve">. Pengguna platform digital khususnya masyarakat umum dapat menggunakannya sebagai alat komunikasi dakwah, berbisnis, sebagai media pembelajaran dan lain sebagainya. Oleh karena itu, adanya transformasi digital ini memberikan arah baru bagi setiap kehidupan masyarakat dalam menggunakan teknologi sebaik mungkin, agar tidak salah guna. Maka, masyarakat perlu membekali dirinya dengan edukasi. Penggunaan dan pengoptimalam media digital yang baik akan menjadi sangat penting sebagai alternatif  pendidikan dalam mengembangkan pembelajaran agar menarik, efektif, dan kekinian. Upaya pengoptimalan yang terjadi pada transformasi digital bagi pendidikan Islam agar terus dilakukan, supaya dapat menghadirkan generasi Islam yang berkarakter, berjiwa religius, cakap akan informasi dan memberikan arah baru pendidikan Islam yang mencerahkan dan berkemajuan. </w:t>
      </w:r>
    </w:p>
    <w:p>
      <w:pPr>
        <w:ind w:left="720" w:firstLine="720"/>
        <w:jc w:val="both"/>
        <w:rPr>
          <w:rFonts w:eastAsia="Book Antiqua" w:asciiTheme="minorHAnsi" w:hAnsiTheme="minorHAnsi"/>
          <w:sz w:val="24"/>
          <w:szCs w:val="24"/>
        </w:rPr>
      </w:pPr>
    </w:p>
    <w:p>
      <w:pPr>
        <w:ind w:left="720" w:firstLine="720"/>
        <w:jc w:val="both"/>
        <w:rPr>
          <w:rFonts w:eastAsia="Book Antiqua" w:asciiTheme="minorHAnsi" w:hAnsiTheme="minorHAnsi"/>
          <w:sz w:val="24"/>
          <w:szCs w:val="24"/>
        </w:rPr>
      </w:pPr>
    </w:p>
    <w:p>
      <w:pPr>
        <w:pStyle w:val="2"/>
        <w:spacing w:before="200"/>
        <w:ind w:firstLine="0"/>
        <w:jc w:val="both"/>
        <w:rPr>
          <w:rFonts w:eastAsia="Cambria" w:cs="Cambria" w:asciiTheme="minorHAnsi" w:hAnsiTheme="minorHAnsi"/>
          <w:b/>
          <w:sz w:val="24"/>
          <w:szCs w:val="24"/>
        </w:rPr>
      </w:pPr>
      <w:r>
        <w:rPr>
          <w:rFonts w:eastAsia="Cambria" w:cs="Cambria" w:asciiTheme="minorHAnsi" w:hAnsiTheme="minorHAnsi"/>
          <w:b/>
          <w:sz w:val="24"/>
          <w:szCs w:val="24"/>
        </w:rPr>
        <w:t>REFERENCES</w:t>
      </w:r>
    </w:p>
    <w:p>
      <w:pPr>
        <w:widowControl w:val="0"/>
        <w:autoSpaceDE w:val="0"/>
        <w:autoSpaceDN w:val="0"/>
        <w:adjustRightInd w:val="0"/>
        <w:jc w:val="both"/>
        <w:rPr>
          <w:rFonts w:eastAsia="Cambria" w:cs="Cambria" w:asciiTheme="minorHAnsi" w:hAnsiTheme="minorHAnsi"/>
          <w:i/>
          <w:sz w:val="24"/>
          <w:szCs w:val="24"/>
        </w:rPr>
      </w:pPr>
    </w:p>
    <w:p>
      <w:pPr>
        <w:widowControl w:val="0"/>
        <w:autoSpaceDE w:val="0"/>
        <w:autoSpaceDN w:val="0"/>
        <w:adjustRightInd w:val="0"/>
        <w:jc w:val="both"/>
        <w:rPr>
          <w:rFonts w:eastAsia="Cambria" w:cs="Cambria" w:asciiTheme="minorHAnsi" w:hAnsiTheme="minorHAnsi"/>
          <w:iCs/>
          <w:sz w:val="24"/>
          <w:szCs w:val="24"/>
        </w:rPr>
      </w:pPr>
      <w:r>
        <w:rPr>
          <w:rFonts w:eastAsia="Cambria" w:cs="Cambria" w:asciiTheme="minorHAnsi" w:hAnsiTheme="minorHAnsi"/>
          <w:iCs/>
          <w:sz w:val="24"/>
          <w:szCs w:val="24"/>
        </w:rPr>
        <w:t>Sumber Buku:</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Al-Qardhawi Yusuf, “Pendidikan Islam dan Madrasah Hasan Al-Banna”, terj. Bustami A. Gani dan Zainal Ahmad, Jakarta: Bulan Bintang, 1980.</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Marimba, Ahmad D. </w:t>
      </w:r>
      <w:r>
        <w:rPr>
          <w:rFonts w:asciiTheme="minorHAnsi" w:hAnsiTheme="minorHAnsi"/>
          <w:i/>
          <w:iCs/>
          <w:sz w:val="24"/>
          <w:szCs w:val="24"/>
        </w:rPr>
        <w:t xml:space="preserve">Pengantar Filsafat Pendidikan Islam, </w:t>
      </w:r>
      <w:r>
        <w:rPr>
          <w:rFonts w:asciiTheme="minorHAnsi" w:hAnsiTheme="minorHAnsi"/>
          <w:sz w:val="24"/>
          <w:szCs w:val="24"/>
        </w:rPr>
        <w:t>Bandung: PT Alma’arif, 1980.</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Muhibbin Syah. </w:t>
      </w:r>
      <w:r>
        <w:rPr>
          <w:rFonts w:asciiTheme="minorHAnsi" w:hAnsiTheme="minorHAnsi"/>
          <w:i/>
          <w:iCs/>
          <w:sz w:val="24"/>
          <w:szCs w:val="24"/>
        </w:rPr>
        <w:t>Psikologi Pendidikan dengan Pendekatan Baru</w:t>
      </w:r>
      <w:r>
        <w:rPr>
          <w:rFonts w:asciiTheme="minorHAnsi" w:hAnsiTheme="minorHAnsi"/>
          <w:sz w:val="24"/>
          <w:szCs w:val="24"/>
        </w:rPr>
        <w:t>. Bandung : PT Remaja Rosdakarya, 2002.</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Mulkhan, Abdul Munir. </w:t>
      </w:r>
      <w:r>
        <w:rPr>
          <w:rFonts w:asciiTheme="minorHAnsi" w:hAnsiTheme="minorHAnsi"/>
          <w:i/>
          <w:iCs/>
          <w:sz w:val="24"/>
          <w:szCs w:val="24"/>
        </w:rPr>
        <w:t xml:space="preserve">Paradigma Intelektual Muslim. </w:t>
      </w:r>
      <w:r>
        <w:rPr>
          <w:rFonts w:asciiTheme="minorHAnsi" w:hAnsiTheme="minorHAnsi"/>
          <w:sz w:val="24"/>
          <w:szCs w:val="24"/>
        </w:rPr>
        <w:t>Yogyakarta: Sipress, 1993.</w:t>
      </w:r>
    </w:p>
    <w:p>
      <w:pPr>
        <w:widowControl w:val="0"/>
        <w:autoSpaceDE w:val="0"/>
        <w:autoSpaceDN w:val="0"/>
        <w:adjustRightInd w:val="0"/>
        <w:ind w:left="480" w:hanging="480"/>
        <w:jc w:val="both"/>
        <w:rPr>
          <w:rFonts w:asciiTheme="minorHAnsi" w:hAnsiTheme="minorHAnsi"/>
          <w:sz w:val="24"/>
          <w:szCs w:val="24"/>
        </w:rPr>
      </w:pP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Sumber Artikel Jurnal:</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Alimuddin, Johar. “Optimalisasi Pembelajaran Daring Pada Masa Pandemi Covid-19 di MI Al Maahdy Sindangsari Majenang. "</w:t>
      </w:r>
      <w:r>
        <w:rPr>
          <w:rFonts w:asciiTheme="minorHAnsi" w:hAnsiTheme="minorHAnsi"/>
          <w:i/>
          <w:iCs/>
          <w:sz w:val="24"/>
          <w:szCs w:val="24"/>
        </w:rPr>
        <w:t xml:space="preserve">Elementary School: Jurnal Pendidikan Dan Pembelajaran, </w:t>
      </w:r>
      <w:r>
        <w:rPr>
          <w:rFonts w:asciiTheme="minorHAnsi" w:hAnsiTheme="minorHAnsi"/>
          <w:sz w:val="24"/>
          <w:szCs w:val="24"/>
        </w:rPr>
        <w:t>no. 2 (2021): 374-379.</w:t>
      </w:r>
    </w:p>
    <w:p>
      <w:pPr>
        <w:widowControl w:val="0"/>
        <w:autoSpaceDE w:val="0"/>
        <w:autoSpaceDN w:val="0"/>
        <w:adjustRightInd w:val="0"/>
        <w:ind w:left="426" w:hanging="568"/>
        <w:jc w:val="both"/>
        <w:rPr>
          <w:rFonts w:asciiTheme="minorHAnsi" w:hAnsiTheme="minorHAnsi"/>
          <w:sz w:val="24"/>
          <w:szCs w:val="24"/>
        </w:rPr>
      </w:pPr>
      <w:r>
        <w:rPr>
          <w:rFonts w:asciiTheme="minorHAnsi" w:hAnsiTheme="minorHAnsi"/>
          <w:sz w:val="24"/>
          <w:szCs w:val="24"/>
        </w:rPr>
        <w:t xml:space="preserve">   Agustian, Niar, and Unik Hanifah Salsabila. “Peran Teknologi Pendidikan Dalam Pembelajaran.” </w:t>
      </w:r>
      <w:r>
        <w:rPr>
          <w:rFonts w:asciiTheme="minorHAnsi" w:hAnsiTheme="minorHAnsi"/>
          <w:i/>
          <w:iCs/>
          <w:sz w:val="24"/>
          <w:szCs w:val="24"/>
        </w:rPr>
        <w:t>Islamika</w:t>
      </w:r>
      <w:r>
        <w:rPr>
          <w:rFonts w:asciiTheme="minorHAnsi" w:hAnsiTheme="minorHAnsi"/>
          <w:sz w:val="24"/>
          <w:szCs w:val="24"/>
        </w:rPr>
        <w:t xml:space="preserve"> 3, no. 1 (2021): 123–33. doi:10.36088/islamika.v3i1.1047.</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Anugerah, Restu Pranansha, and Wahyu Andhyka Kusuma. “Keefektivitasan Penggunaan Platform LMS Dalam Pelaksanaan Pembelajaran Jarak Jauh.” </w:t>
      </w:r>
      <w:r>
        <w:rPr>
          <w:rFonts w:asciiTheme="minorHAnsi" w:hAnsiTheme="minorHAnsi"/>
          <w:i/>
          <w:iCs/>
          <w:sz w:val="24"/>
          <w:szCs w:val="24"/>
        </w:rPr>
        <w:t>Jurnal Komputer Dan Informatika</w:t>
      </w:r>
      <w:r>
        <w:rPr>
          <w:rFonts w:asciiTheme="minorHAnsi" w:hAnsiTheme="minorHAnsi"/>
          <w:sz w:val="24"/>
          <w:szCs w:val="24"/>
        </w:rPr>
        <w:t xml:space="preserve"> 9, no. 2 (2021): 127–32. doi:10.35508/jicon.v9i2.4319.</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Habibi, Ibnu. “Implementasi Pembelajaran Pendidikan Agama Islam Berbasis Daring (</w:t>
      </w:r>
      <w:r>
        <w:rPr>
          <w:rFonts w:asciiTheme="minorHAnsi" w:hAnsiTheme="minorHAnsi"/>
          <w:i/>
          <w:iCs/>
          <w:sz w:val="24"/>
          <w:szCs w:val="24"/>
        </w:rPr>
        <w:t>whatsapp Group, Google Classroom  dan Zoom Meeting</w:t>
      </w:r>
      <w:r>
        <w:rPr>
          <w:rFonts w:asciiTheme="minorHAnsi" w:hAnsiTheme="minorHAnsi"/>
          <w:sz w:val="24"/>
          <w:szCs w:val="24"/>
        </w:rPr>
        <w:t>) di SMP Al Amin Bojonegoro. "</w:t>
      </w:r>
      <w:r>
        <w:rPr>
          <w:rFonts w:asciiTheme="minorHAnsi" w:hAnsiTheme="minorHAnsi"/>
          <w:i/>
          <w:iCs/>
          <w:sz w:val="24"/>
          <w:szCs w:val="24"/>
        </w:rPr>
        <w:t xml:space="preserve">Cendekia </w:t>
      </w:r>
      <w:r>
        <w:rPr>
          <w:rFonts w:asciiTheme="minorHAnsi" w:hAnsiTheme="minorHAnsi"/>
          <w:sz w:val="24"/>
          <w:szCs w:val="24"/>
        </w:rPr>
        <w:t>12, no.2 (2020): 161-178.</w:t>
      </w:r>
    </w:p>
    <w:p>
      <w:pPr>
        <w:widowControl w:val="0"/>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 xml:space="preserve">Hadiono, Kristophorus, and Rina Candra Noor Santi. “Menyongsong Transformasi Digital.” </w:t>
      </w:r>
      <w:r>
        <w:rPr>
          <w:rFonts w:asciiTheme="minorHAnsi" w:hAnsiTheme="minorHAnsi"/>
          <w:i/>
          <w:iCs/>
          <w:sz w:val="24"/>
          <w:szCs w:val="24"/>
        </w:rPr>
        <w:t>Proceeding Sendiu</w:t>
      </w:r>
      <w:r>
        <w:rPr>
          <w:rFonts w:asciiTheme="minorHAnsi" w:hAnsiTheme="minorHAnsi"/>
          <w:sz w:val="24"/>
          <w:szCs w:val="24"/>
        </w:rPr>
        <w:t>, no. July (2020): 978–79. https://www.researchgate.net/publication/343135526_MENYONGSONG_TRANSFORMASI_DIGITAL.</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Hanifah Salsabila, Unik, Lailli Irna Sari, Khusna Haibati Lathif, Ayu Puji Lestari, and Asyharinur Ayuning. “Peran Teknologi Dalam Pembelajaran Di Masa Pandemi Covid-19.” </w:t>
      </w:r>
      <w:r>
        <w:rPr>
          <w:rFonts w:asciiTheme="minorHAnsi" w:hAnsiTheme="minorHAnsi"/>
          <w:i/>
          <w:iCs/>
          <w:sz w:val="24"/>
          <w:szCs w:val="24"/>
        </w:rPr>
        <w:t>Al-Mutharahah: Jurnal Penelitian Dan Kajian Sosial Keagamaan</w:t>
      </w:r>
      <w:r>
        <w:rPr>
          <w:rFonts w:asciiTheme="minorHAnsi" w:hAnsiTheme="minorHAnsi"/>
          <w:sz w:val="24"/>
          <w:szCs w:val="24"/>
        </w:rPr>
        <w:t xml:space="preserve"> 17, no. 2 (2020): 188–98. doi:10.46781/al-mutharahah.v17i2.138</w:t>
      </w:r>
    </w:p>
    <w:p>
      <w:pPr>
        <w:widowControl w:val="0"/>
        <w:autoSpaceDE w:val="0"/>
        <w:autoSpaceDN w:val="0"/>
        <w:adjustRightInd w:val="0"/>
        <w:ind w:left="480" w:hanging="480"/>
        <w:rPr>
          <w:rFonts w:asciiTheme="minorHAnsi" w:hAnsiTheme="minorHAnsi"/>
          <w:sz w:val="24"/>
          <w:szCs w:val="24"/>
        </w:rPr>
      </w:pPr>
      <w:r>
        <w:rPr>
          <w:rFonts w:asciiTheme="minorHAnsi" w:hAnsiTheme="minorHAnsi"/>
          <w:sz w:val="24"/>
          <w:szCs w:val="24"/>
        </w:rPr>
        <w:t xml:space="preserve">Kenedi, Agus, and Suci Hartati. “Moderasi Pendidikan Islam Melalui Gerakan Literasi Digital Di Madrasah.” </w:t>
      </w:r>
      <w:r>
        <w:rPr>
          <w:rFonts w:asciiTheme="minorHAnsi" w:hAnsiTheme="minorHAnsi"/>
          <w:i/>
          <w:iCs/>
          <w:sz w:val="24"/>
          <w:szCs w:val="24"/>
        </w:rPr>
        <w:t>Jurnal Mubtadiin, Vol. 8 No. 01 Januari-Juni 2022 Https://Journal.an-Nur.Ac.Id/Index.Php/Mubtadiin</w:t>
      </w:r>
      <w:r>
        <w:rPr>
          <w:rFonts w:asciiTheme="minorHAnsi" w:hAnsiTheme="minorHAnsi"/>
          <w:sz w:val="24"/>
          <w:szCs w:val="24"/>
        </w:rPr>
        <w:t>, 2019, 9–25.</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Khairul Rahmat, Hayatul, Ferra Puspito Sari, Mutiara Hasanah, Suandara Pratiwi, Achmad Muafi Ikhsan, R Rahmanisa, Syahti Pernanda, and Adib Mahdi Fadil. “Upaya Pengurangan Risiko Bencana Melalui Pelibatan Penyandang Disabilitas Di Indonesia: Sebuah Tinjauan Kepustakaan Disaster Risk Reduction Efforts Through Involvement of People With Disabilities in Indonesia: A Literature Review.” </w:t>
      </w:r>
      <w:r>
        <w:rPr>
          <w:rFonts w:asciiTheme="minorHAnsi" w:hAnsiTheme="minorHAnsi"/>
          <w:i/>
          <w:iCs/>
          <w:sz w:val="24"/>
          <w:szCs w:val="24"/>
        </w:rPr>
        <w:t>Jurnal Manajemen Bencana (JMB)</w:t>
      </w:r>
      <w:r>
        <w:rPr>
          <w:rFonts w:asciiTheme="minorHAnsi" w:hAnsiTheme="minorHAnsi"/>
          <w:sz w:val="24"/>
          <w:szCs w:val="24"/>
        </w:rPr>
        <w:t xml:space="preserve"> 6, no. 2 (2020): 55–64. doi:10.33172/jmb.v6i2.623.</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Kusumaningrum, Hening, Unik Hanifah Salsabila, Nanik Rahmanti, Istiani Nur Kasanah, and Dian Sidik Kurniawan. “Optimalisasi Media Youtube Sebagai Media Pembelajaran Daring.” </w:t>
      </w:r>
      <w:r>
        <w:rPr>
          <w:rFonts w:asciiTheme="minorHAnsi" w:hAnsiTheme="minorHAnsi"/>
          <w:i/>
          <w:iCs/>
          <w:sz w:val="24"/>
          <w:szCs w:val="24"/>
        </w:rPr>
        <w:t>SALIHA : Jurnal Pendidikan Agama Islam</w:t>
      </w:r>
      <w:r>
        <w:rPr>
          <w:rFonts w:asciiTheme="minorHAnsi" w:hAnsiTheme="minorHAnsi"/>
          <w:sz w:val="24"/>
          <w:szCs w:val="24"/>
        </w:rPr>
        <w:t xml:space="preserve"> 5 (2022): 92–114.</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Muhammad Haris. “Pendidikan Islam Dalam Perspektif Prof. H.M Arifin.” </w:t>
      </w:r>
      <w:r>
        <w:rPr>
          <w:rFonts w:asciiTheme="minorHAnsi" w:hAnsiTheme="minorHAnsi"/>
          <w:i/>
          <w:iCs/>
          <w:sz w:val="24"/>
          <w:szCs w:val="24"/>
        </w:rPr>
        <w:t>Ummul Quro</w:t>
      </w:r>
      <w:r>
        <w:rPr>
          <w:rFonts w:asciiTheme="minorHAnsi" w:hAnsiTheme="minorHAnsi"/>
          <w:sz w:val="24"/>
          <w:szCs w:val="24"/>
        </w:rPr>
        <w:t xml:space="preserve"> 6, no. Jurnal Ummul Qura Vol VI, No 2, September 2015 (2015):1–19. </w:t>
      </w:r>
      <w:r>
        <w:fldChar w:fldCharType="begin"/>
      </w:r>
      <w:r>
        <w:instrText xml:space="preserve"> HYPERLINK "http://ejournal.kopertais4.or.id/index.php/qura/issue/view/531" </w:instrText>
      </w:r>
      <w:r>
        <w:fldChar w:fldCharType="separate"/>
      </w:r>
      <w:r>
        <w:rPr>
          <w:rStyle w:val="12"/>
          <w:rFonts w:asciiTheme="minorHAnsi" w:hAnsiTheme="minorHAnsi"/>
          <w:sz w:val="24"/>
          <w:szCs w:val="24"/>
        </w:rPr>
        <w:t>http://ejournal.kopertais4.or.id/index.php/qura/issue/view/531</w:t>
      </w:r>
      <w:r>
        <w:rPr>
          <w:rStyle w:val="12"/>
          <w:rFonts w:asciiTheme="minorHAnsi" w:hAnsiTheme="minorHAnsi"/>
          <w:sz w:val="24"/>
          <w:szCs w:val="24"/>
        </w:rPr>
        <w:fldChar w:fldCharType="end"/>
      </w:r>
      <w:r>
        <w:rPr>
          <w:rFonts w:asciiTheme="minorHAnsi" w:hAnsiTheme="minorHAnsi"/>
          <w:sz w:val="24"/>
          <w:szCs w:val="24"/>
        </w:rPr>
        <w:t>.</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Muhasim, Muhasim. “Pengaruh Tehnologi Digital Terhadap Motivasi Belajar Peserta Didik.” </w:t>
      </w:r>
      <w:r>
        <w:rPr>
          <w:rFonts w:asciiTheme="minorHAnsi" w:hAnsiTheme="minorHAnsi"/>
          <w:i/>
          <w:iCs/>
          <w:sz w:val="24"/>
          <w:szCs w:val="24"/>
        </w:rPr>
        <w:t>Palapa</w:t>
      </w:r>
      <w:r>
        <w:rPr>
          <w:rFonts w:asciiTheme="minorHAnsi" w:hAnsiTheme="minorHAnsi"/>
          <w:sz w:val="24"/>
          <w:szCs w:val="24"/>
        </w:rPr>
        <w:t xml:space="preserve"> 5, no. 2 (2017): 53–77. doi:10.36088/palapa.v5i2.46.</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Noor, Tajuddin. “Rumusan Tujuan Pendidikan Nasional Pasal 3 Undang-Undang Sistem Pendidikan Nasional No 20 Tahun 2013 Melalui Pendekatan Nilai-Nilai Yang Terkandung Dalam Ayat 30 Surah Ar-Ruum Dan Ayat 172 Surah Al-‘Araaf.” </w:t>
      </w:r>
      <w:r>
        <w:rPr>
          <w:rFonts w:asciiTheme="minorHAnsi" w:hAnsiTheme="minorHAnsi"/>
          <w:i/>
          <w:iCs/>
          <w:sz w:val="24"/>
          <w:szCs w:val="24"/>
        </w:rPr>
        <w:t>Universitas Singaperbangsa Karawang</w:t>
      </w:r>
      <w:r>
        <w:rPr>
          <w:rFonts w:asciiTheme="minorHAnsi" w:hAnsiTheme="minorHAnsi"/>
          <w:sz w:val="24"/>
          <w:szCs w:val="24"/>
        </w:rPr>
        <w:t>, no. 20 (2018): 123–44.</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Panjaitan, Nur Qomariah, Elindra Yetti, and Yuliani Nurani. “Pengaruh Media Pembelajaran Digital Animasi Dan Kepercayaan Diri Terhadap Hasil Belajar Pendidikan Agama Islam Anak.” </w:t>
      </w:r>
      <w:r>
        <w:rPr>
          <w:rFonts w:asciiTheme="minorHAnsi" w:hAnsiTheme="minorHAnsi"/>
          <w:i/>
          <w:iCs/>
          <w:sz w:val="24"/>
          <w:szCs w:val="24"/>
        </w:rPr>
        <w:t>Jurnal Obsesi : Jurnal Pendidikan Anak Usia Dini</w:t>
      </w:r>
      <w:r>
        <w:rPr>
          <w:rFonts w:asciiTheme="minorHAnsi" w:hAnsiTheme="minorHAnsi"/>
          <w:sz w:val="24"/>
          <w:szCs w:val="24"/>
        </w:rPr>
        <w:t xml:space="preserve"> 4, no. 2 (2020): 588. doi:10.31004/obsesi.v4i2.404.</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Pendidikan, Dosen, Agama Islam, Ftk Iain Raden, and Intan Lampung. “Tujuan Pendidikan Islam Imam Syafe’I.” </w:t>
      </w:r>
      <w:r>
        <w:rPr>
          <w:rFonts w:asciiTheme="minorHAnsi" w:hAnsiTheme="minorHAnsi"/>
          <w:i/>
          <w:iCs/>
          <w:sz w:val="24"/>
          <w:szCs w:val="24"/>
        </w:rPr>
        <w:t>Jurnal Pendidikan Islam</w:t>
      </w:r>
      <w:r>
        <w:rPr>
          <w:rFonts w:asciiTheme="minorHAnsi" w:hAnsiTheme="minorHAnsi"/>
          <w:sz w:val="24"/>
          <w:szCs w:val="24"/>
        </w:rPr>
        <w:t xml:space="preserve"> 6, no. November (2015): 151–66.</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Putra Daulay, Haidar, Zaini Dahlan, Aimanun, and Akublan Siregar. “Manusia Dalam Pendidikan Islam Menurut Hasan Langgulung.” </w:t>
      </w:r>
      <w:r>
        <w:rPr>
          <w:rFonts w:asciiTheme="minorHAnsi" w:hAnsiTheme="minorHAnsi"/>
          <w:i/>
          <w:iCs/>
          <w:sz w:val="24"/>
          <w:szCs w:val="24"/>
        </w:rPr>
        <w:t>Islamic Education</w:t>
      </w:r>
      <w:r>
        <w:rPr>
          <w:rFonts w:asciiTheme="minorHAnsi" w:hAnsiTheme="minorHAnsi"/>
          <w:sz w:val="24"/>
          <w:szCs w:val="24"/>
        </w:rPr>
        <w:t xml:space="preserve"> 1, no. 1 (2021): 11–20. doi:10.57251/ie.v1i1.9.</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Siswanto, Romi. “TRANSFORMASI DIGITAL DALAM PEMULIHAN PENDIDIKAN PASCA PANDEMI.” </w:t>
      </w:r>
      <w:r>
        <w:rPr>
          <w:rFonts w:asciiTheme="minorHAnsi" w:hAnsiTheme="minorHAnsi"/>
          <w:i/>
          <w:iCs/>
          <w:sz w:val="24"/>
          <w:szCs w:val="24"/>
        </w:rPr>
        <w:t>Gurudikdas</w:t>
      </w:r>
      <w:r>
        <w:rPr>
          <w:rFonts w:asciiTheme="minorHAnsi" w:hAnsiTheme="minorHAnsi"/>
          <w:sz w:val="24"/>
          <w:szCs w:val="24"/>
        </w:rPr>
        <w:t xml:space="preserve">, 2022. </w:t>
      </w:r>
      <w:r>
        <w:fldChar w:fldCharType="begin"/>
      </w:r>
      <w:r>
        <w:instrText xml:space="preserve"> HYPERLINK "https://gurudikdas.kemdikbud.go.id/news/transformasi-digital-dalam-pemulihan-pendidikan-pasca-pandemi" </w:instrText>
      </w:r>
      <w:r>
        <w:fldChar w:fldCharType="separate"/>
      </w:r>
      <w:r>
        <w:rPr>
          <w:rStyle w:val="12"/>
          <w:rFonts w:asciiTheme="minorHAnsi" w:hAnsiTheme="minorHAnsi"/>
          <w:sz w:val="24"/>
          <w:szCs w:val="24"/>
        </w:rPr>
        <w:t>https://gurudikdas.kemdikbud.go.id/news/transformasi-digital-dalam-pemulihan-pendidikan-pasca-pandemi</w:t>
      </w:r>
      <w:r>
        <w:rPr>
          <w:rStyle w:val="12"/>
          <w:rFonts w:asciiTheme="minorHAnsi" w:hAnsiTheme="minorHAnsi"/>
          <w:sz w:val="24"/>
          <w:szCs w:val="24"/>
        </w:rPr>
        <w:fldChar w:fldCharType="end"/>
      </w:r>
      <w:r>
        <w:rPr>
          <w:rFonts w:asciiTheme="minorHAnsi" w:hAnsiTheme="minorHAnsi"/>
          <w:sz w:val="24"/>
          <w:szCs w:val="24"/>
        </w:rPr>
        <w:t>.</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Sujana, I Wayan Cong. “Fungsi Dan Tujuan Pendidikan Indonesia.” </w:t>
      </w:r>
      <w:r>
        <w:rPr>
          <w:rFonts w:asciiTheme="minorHAnsi" w:hAnsiTheme="minorHAnsi"/>
          <w:i/>
          <w:iCs/>
          <w:sz w:val="24"/>
          <w:szCs w:val="24"/>
        </w:rPr>
        <w:t>Adi Widya: Jurnal Pendidikan Dasar</w:t>
      </w:r>
      <w:r>
        <w:rPr>
          <w:rFonts w:asciiTheme="minorHAnsi" w:hAnsiTheme="minorHAnsi"/>
          <w:sz w:val="24"/>
          <w:szCs w:val="24"/>
        </w:rPr>
        <w:t xml:space="preserve"> 4, no. 1 (2019): 29. doi:10.25078/aw.v4i1.927.</w:t>
      </w:r>
    </w:p>
    <w:p>
      <w:pPr>
        <w:widowControl w:val="0"/>
        <w:autoSpaceDE w:val="0"/>
        <w:autoSpaceDN w:val="0"/>
        <w:adjustRightInd w:val="0"/>
        <w:ind w:left="480" w:hanging="480"/>
        <w:jc w:val="both"/>
        <w:rPr>
          <w:rFonts w:asciiTheme="minorHAnsi" w:hAnsiTheme="minorHAnsi"/>
          <w:sz w:val="24"/>
          <w:szCs w:val="24"/>
        </w:rPr>
      </w:pPr>
      <w:r>
        <w:rPr>
          <w:rFonts w:asciiTheme="minorHAnsi" w:hAnsiTheme="minorHAnsi"/>
          <w:sz w:val="24"/>
          <w:szCs w:val="24"/>
        </w:rPr>
        <w:t xml:space="preserve">Suryaningsih, Sri Indah. “Pemanfaatan Teknologi Pembelajaran Dalam Adaptasi Pandemi Covid–19.” </w:t>
      </w:r>
      <w:r>
        <w:rPr>
          <w:rFonts w:asciiTheme="minorHAnsi" w:hAnsiTheme="minorHAnsi"/>
          <w:i/>
          <w:iCs/>
          <w:sz w:val="24"/>
          <w:szCs w:val="24"/>
        </w:rPr>
        <w:t>Pusdatin</w:t>
      </w:r>
      <w:r>
        <w:rPr>
          <w:rFonts w:asciiTheme="minorHAnsi" w:hAnsiTheme="minorHAnsi"/>
          <w:sz w:val="24"/>
          <w:szCs w:val="24"/>
        </w:rPr>
        <w:t xml:space="preserve">, 2022. </w:t>
      </w:r>
      <w:r>
        <w:rPr>
          <w:rFonts w:eastAsia="Cambria" w:cs="Cambria" w:asciiTheme="minorHAnsi" w:hAnsiTheme="minorHAnsi"/>
          <w:i/>
          <w:sz w:val="24"/>
          <w:szCs w:val="24"/>
        </w:rPr>
        <w:fldChar w:fldCharType="begin" w:fldLock="1"/>
      </w:r>
      <w:r>
        <w:rPr>
          <w:rFonts w:eastAsia="Cambria" w:cs="Cambria" w:asciiTheme="minorHAnsi" w:hAnsiTheme="minorHAnsi"/>
          <w:i/>
          <w:sz w:val="24"/>
          <w:szCs w:val="24"/>
        </w:rPr>
        <w:instrText xml:space="preserve">ADDIN Mendeley Bibliography CSL_BIBLIOGRAPHY </w:instrText>
      </w:r>
      <w:r>
        <w:rPr>
          <w:rFonts w:eastAsia="Cambria" w:cs="Cambria" w:asciiTheme="minorHAnsi" w:hAnsiTheme="minorHAnsi"/>
          <w:i/>
          <w:sz w:val="24"/>
          <w:szCs w:val="24"/>
        </w:rPr>
        <w:fldChar w:fldCharType="separate"/>
      </w:r>
      <w:r>
        <w:rPr>
          <w:rFonts w:asciiTheme="minorHAnsi" w:hAnsiTheme="minorHAnsi"/>
          <w:sz w:val="24"/>
          <w:szCs w:val="24"/>
        </w:rPr>
        <w:t>https://pusdatin.kemdikbud.go.id/pemanfaatan-teknologi-pembelajaran-dalam-adaptasi-pandemi-covid-19/.</w:t>
      </w:r>
    </w:p>
    <w:p>
      <w:pPr>
        <w:widowControl w:val="0"/>
        <w:autoSpaceDE w:val="0"/>
        <w:autoSpaceDN w:val="0"/>
        <w:adjustRightInd w:val="0"/>
        <w:ind w:left="480" w:hanging="480"/>
        <w:jc w:val="both"/>
        <w:rPr>
          <w:rFonts w:asciiTheme="minorHAnsi" w:hAnsiTheme="minorHAnsi"/>
          <w:sz w:val="24"/>
          <w:szCs w:val="24"/>
        </w:rPr>
      </w:pPr>
    </w:p>
    <w:p>
      <w:pPr>
        <w:widowControl w:val="0"/>
        <w:autoSpaceDE w:val="0"/>
        <w:autoSpaceDN w:val="0"/>
        <w:adjustRightInd w:val="0"/>
        <w:ind w:left="480" w:hanging="480"/>
        <w:jc w:val="both"/>
        <w:rPr>
          <w:rFonts w:asciiTheme="minorHAnsi" w:hAnsiTheme="minorHAnsi"/>
          <w:sz w:val="24"/>
          <w:szCs w:val="24"/>
        </w:rPr>
      </w:pPr>
      <w:r>
        <w:rPr>
          <w:rFonts w:eastAsia="Cambria" w:cs="Cambria" w:asciiTheme="minorHAnsi" w:hAnsiTheme="minorHAnsi"/>
          <w:i/>
          <w:sz w:val="24"/>
          <w:szCs w:val="24"/>
        </w:rPr>
        <w:fldChar w:fldCharType="end"/>
      </w:r>
    </w:p>
    <w:p>
      <w:pPr>
        <w:widowControl w:val="0"/>
        <w:autoSpaceDE w:val="0"/>
        <w:autoSpaceDN w:val="0"/>
        <w:adjustRightInd w:val="0"/>
        <w:ind w:left="480" w:hanging="480"/>
        <w:jc w:val="left"/>
        <w:rPr>
          <w:rFonts w:asciiTheme="minorHAnsi" w:hAnsiTheme="minorHAnsi"/>
          <w:sz w:val="24"/>
          <w:szCs w:val="24"/>
        </w:rPr>
      </w:pPr>
    </w:p>
    <w:p>
      <w:pPr>
        <w:widowControl w:val="0"/>
        <w:autoSpaceDE w:val="0"/>
        <w:autoSpaceDN w:val="0"/>
        <w:adjustRightInd w:val="0"/>
        <w:ind w:left="480" w:hanging="480"/>
        <w:rPr>
          <w:rFonts w:asciiTheme="minorHAnsi" w:hAnsiTheme="minorHAnsi"/>
          <w:sz w:val="24"/>
          <w:szCs w:val="24"/>
        </w:rPr>
      </w:pPr>
    </w:p>
    <w:p>
      <w:pPr>
        <w:widowControl w:val="0"/>
        <w:autoSpaceDE w:val="0"/>
        <w:autoSpaceDN w:val="0"/>
        <w:adjustRightInd w:val="0"/>
        <w:ind w:left="480" w:hanging="480"/>
        <w:rPr>
          <w:rFonts w:asciiTheme="minorHAnsi" w:hAnsiTheme="minorHAnsi"/>
          <w:sz w:val="24"/>
          <w:szCs w:val="24"/>
        </w:rPr>
      </w:pPr>
    </w:p>
    <w:p>
      <w:pPr>
        <w:widowControl w:val="0"/>
        <w:autoSpaceDE w:val="0"/>
        <w:autoSpaceDN w:val="0"/>
        <w:adjustRightInd w:val="0"/>
        <w:ind w:left="480" w:hanging="480"/>
        <w:rPr>
          <w:rFonts w:asciiTheme="minorHAnsi" w:hAnsiTheme="minorHAnsi"/>
          <w:sz w:val="24"/>
          <w:szCs w:val="24"/>
        </w:rPr>
      </w:pPr>
    </w:p>
    <w:p>
      <w:pPr>
        <w:widowControl w:val="0"/>
        <w:autoSpaceDE w:val="0"/>
        <w:autoSpaceDN w:val="0"/>
        <w:adjustRightInd w:val="0"/>
        <w:ind w:left="480" w:hanging="480"/>
        <w:jc w:val="both"/>
        <w:rPr>
          <w:rFonts w:asciiTheme="minorHAnsi" w:hAnsiTheme="minorHAnsi"/>
          <w:sz w:val="24"/>
          <w:szCs w:val="24"/>
        </w:rPr>
      </w:pPr>
    </w:p>
    <w:p>
      <w:pPr>
        <w:widowControl w:val="0"/>
        <w:autoSpaceDE w:val="0"/>
        <w:autoSpaceDN w:val="0"/>
        <w:adjustRightInd w:val="0"/>
        <w:ind w:left="480" w:hanging="480"/>
        <w:jc w:val="both"/>
        <w:rPr>
          <w:rFonts w:asciiTheme="minorHAnsi" w:hAnsiTheme="minorHAnsi"/>
          <w:sz w:val="24"/>
          <w:szCs w:val="24"/>
        </w:rPr>
      </w:pPr>
    </w:p>
    <w:p>
      <w:pPr>
        <w:widowControl w:val="0"/>
        <w:autoSpaceDE w:val="0"/>
        <w:autoSpaceDN w:val="0"/>
        <w:adjustRightInd w:val="0"/>
        <w:ind w:left="480" w:hanging="480"/>
        <w:jc w:val="both"/>
        <w:rPr>
          <w:rFonts w:asciiTheme="minorHAnsi" w:hAnsiTheme="minorHAnsi"/>
          <w:sz w:val="24"/>
          <w:szCs w:val="24"/>
        </w:rPr>
      </w:pPr>
    </w:p>
    <w:p>
      <w:pPr>
        <w:widowControl w:val="0"/>
        <w:autoSpaceDE w:val="0"/>
        <w:autoSpaceDN w:val="0"/>
        <w:adjustRightInd w:val="0"/>
        <w:ind w:left="480" w:hanging="480"/>
        <w:jc w:val="both"/>
        <w:rPr>
          <w:rFonts w:asciiTheme="minorHAnsi" w:hAnsiTheme="minorHAnsi"/>
          <w:sz w:val="24"/>
          <w:szCs w:val="24"/>
        </w:rPr>
      </w:pPr>
    </w:p>
    <w:p>
      <w:pPr>
        <w:widowControl w:val="0"/>
        <w:autoSpaceDE w:val="0"/>
        <w:autoSpaceDN w:val="0"/>
        <w:adjustRightInd w:val="0"/>
        <w:ind w:left="480" w:hanging="480"/>
        <w:jc w:val="both"/>
        <w:rPr>
          <w:rFonts w:asciiTheme="minorHAnsi" w:hAnsiTheme="minorHAnsi"/>
          <w:sz w:val="24"/>
          <w:szCs w:val="24"/>
        </w:rPr>
      </w:pPr>
    </w:p>
    <w:p>
      <w:pPr>
        <w:spacing w:line="276" w:lineRule="auto"/>
        <w:jc w:val="both"/>
        <w:rPr>
          <w:rFonts w:ascii="Cambria" w:hAnsi="Cambria" w:eastAsia="Cambria" w:cs="Cambria"/>
          <w:sz w:val="24"/>
          <w:szCs w:val="24"/>
        </w:rPr>
      </w:pPr>
    </w:p>
    <w:p>
      <w:pPr>
        <w:jc w:val="left"/>
        <w:rPr>
          <w:rFonts w:ascii="Cambria" w:hAnsi="Cambria" w:eastAsia="Cambria" w:cs="Cambria"/>
          <w:sz w:val="24"/>
          <w:szCs w:val="24"/>
        </w:rPr>
      </w:pPr>
    </w:p>
    <w:sectPr>
      <w:headerReference r:id="rId6" w:type="first"/>
      <w:headerReference r:id="rId4" w:type="default"/>
      <w:headerReference r:id="rId5" w:type="even"/>
      <w:footerReference r:id="rId7" w:type="even"/>
      <w:pgSz w:w="11909" w:h="16834"/>
      <w:pgMar w:top="1701" w:right="1701" w:bottom="1701" w:left="2268" w:header="1134" w:footer="1134"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Roboto">
    <w:altName w:val="Times New Roman"/>
    <w:panose1 w:val="00000000000000000000"/>
    <w:charset w:val="00"/>
    <w:family w:val="auto"/>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both"/>
      <w:rPr>
        <w:rFonts w:ascii="Cambria" w:hAnsi="Cambria" w:eastAsia="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6">
    <w:p>
      <w:r>
        <w:separator/>
      </w:r>
    </w:p>
  </w:footnote>
  <w:footnote w:type="continuationSeparator" w:id="77">
    <w:p>
      <w:r>
        <w:continuationSeparator/>
      </w:r>
    </w:p>
  </w:footnote>
  <w:footnote w:id="0">
    <w:p>
      <w:pPr>
        <w:pStyle w:val="11"/>
        <w:rPr>
          <w:lang w:val="id-ID"/>
        </w:rPr>
      </w:pPr>
      <w:r>
        <w:rPr>
          <w:rStyle w:val="10"/>
        </w:rPr>
        <w:footnoteRef/>
      </w:r>
      <w:r>
        <w:t xml:space="preserve"> </w:t>
      </w:r>
      <w:r>
        <w:fldChar w:fldCharType="begin" w:fldLock="1"/>
      </w:r>
      <w:r>
        <w:instrText xml:space="preserve">ADDIN CSL_CITATION {"citationItems":[{"id":"ITEM-1","itemData":{"URL":"https://pusdatin.kemdikbud.go.id/pemanfaatan-teknologi-pembelajaran-dalam-adaptasi-pandemi-covid-19/","accessed":{"date-parts":[["2022","12","17"]]},"author":[{"dropping-particle":"","family":"Suryaningsih","given":"Sri Indah","non-dropping-particle":"","parse-names":false,"suffix":""}],"container-title":"Pusdatin","id":"ITEM-1","issued":{"date-parts":[["2022"]]},"title":"Pemanfaatan Teknologi Pembelajaran dalam Adaptasi Pandemi Covid–19","type":"webpage"},"uris":["http://www.mendeley.com/documents/?uuid=afa5227d-b9eb-4599-82be-2e3200327e5a"]}],"mendeley":{"formattedCitation":"Sri Indah Suryaningsih, “Pemanfaatan Teknologi Pembelajaran Dalam Adaptasi Pandemi Covid–19,” &lt;i&gt;Pusdatin&lt;/i&gt;, 2022, https://pusdatin.kemdikbud.go.id/pemanfaatan-teknologi-pembelajaran-dalam-adaptasi-pandemi-covid-19/.","plainTextFormattedCitation":"Sri Indah Suryaningsih, “Pemanfaatan Teknologi Pembelajaran Dalam Adaptasi Pandemi Covid–19,” Pusdatin, 2022, https://pusdatin.kemdikbud.go.id/pemanfaatan-teknologi-pembelajaran-dalam-adaptasi-pandemi-covid-19/.","previouslyFormattedCitation":"Sri Indah Suryaningsih, “Pemanfaatan Teknologi Pembelajaran Dalam Adaptasi Pandemi Covid–19,” &lt;i&gt;Pusdatin&lt;/i&gt;, 2022, https://pusdatin.kemdikbud.go.id/pemanfaatan-teknologi-pembelajaran-dalam-adaptasi-pandemi-covid-19/."},"properties":{"noteIndex":1},"schema":"https://github.com/citation-style-language/schema/raw/master/csl-citation.json"}</w:instrText>
      </w:r>
      <w:r>
        <w:fldChar w:fldCharType="separate"/>
      </w:r>
      <w:r>
        <w:t xml:space="preserve">Sri Indah Suryaningsih, “Pemanfaatan Teknologi Pembelajaran Dalam Adaptasi Pandemi Covid–19,” </w:t>
      </w:r>
      <w:r>
        <w:rPr>
          <w:i/>
        </w:rPr>
        <w:t>Pusdatin</w:t>
      </w:r>
      <w:r>
        <w:t>, 2022, https://pusdatin.kemdikbud.go.id/pemanfaatan-teknologi-pembelajaran-dalam-adaptasi-pandemi-covid-19/.</w:t>
      </w:r>
      <w:r>
        <w:fldChar w:fldCharType="end"/>
      </w:r>
    </w:p>
  </w:footnote>
  <w:footnote w:id="1">
    <w:p>
      <w:pPr>
        <w:pStyle w:val="11"/>
        <w:rPr>
          <w:lang w:val="id-ID"/>
        </w:rPr>
      </w:pPr>
      <w:r>
        <w:rPr>
          <w:rStyle w:val="10"/>
        </w:rPr>
        <w:footnoteRef/>
      </w:r>
      <w:r>
        <w:t xml:space="preserve"> </w:t>
      </w:r>
      <w:r>
        <w:fldChar w:fldCharType="begin" w:fldLock="1"/>
      </w:r>
      <w:r>
        <w:instrText xml:space="preserve">ADDIN CSL_CITATION {"citationItems":[{"id":"ITEM-1","itemData":{"URL":"https://gurudikdas.kemdikbud.go.id/news/transformasi-digital-dalam-pemulihan-pendidikan-pasca-pandemi","accessed":{"date-parts":[["2022","12","17"]]},"author":[{"dropping-particle":"","family":"Siswanto","given":"Romi","non-dropping-particle":"","parse-names":false,"suffix":""}],"container-title":"gurudikdas","id":"ITEM-1","issued":{"date-parts":[["2022"]]},"title":"TRANSFORMASI DIGITAL DALAM PEMULIHAN PENDIDIKAN PASCA PANDEMI","type":"webpage"},"uris":["http://www.mendeley.com/documents/?uuid=bc6a9aed-8ae4-4a53-9d17-be4b074ececd"]}],"mendeley":{"formattedCitation":"Romi Siswanto, “TRANSFORMASI DIGITAL DALAM PEMULIHAN PENDIDIKAN PASCA PANDEMI,” &lt;i&gt;Gurudikdas&lt;/i&gt;, 2022, https://gurudikdas.kemdikbud.go.id/news/transformasi-digital-dalam-pemulihan-pendidikan-pasca-pandemi.","plainTextFormattedCitation":"Romi Siswanto, “TRANSFORMASI DIGITAL DALAM PEMULIHAN PENDIDIKAN PASCA PANDEMI,” Gurudikdas, 2022, https://gurudikdas.kemdikbud.go.id/news/transformasi-digital-dalam-pemulihan-pendidikan-pasca-pandemi.","previouslyFormattedCitation":"Romi Siswanto, “TRANSFORMASI DIGITAL DALAM PEMULIHAN PENDIDIKAN PASCA PANDEMI,” &lt;i&gt;Gurudikdas&lt;/i&gt;, 2022, https://gurudikdas.kemdikbud.go.id/news/transformasi-digital-dalam-pemulihan-pendidikan-pasca-pandemi."},"properties":{"noteIndex":2},"schema":"https://github.com/citation-style-language/schema/raw/master/csl-citation.json"}</w:instrText>
      </w:r>
      <w:r>
        <w:fldChar w:fldCharType="separate"/>
      </w:r>
      <w:r>
        <w:t xml:space="preserve">Romi Siswanto, “TRANSFORMASI DIGITAL DALAM PEMULIHAN PENDIDIKAN PASCA PANDEMI,” </w:t>
      </w:r>
      <w:r>
        <w:rPr>
          <w:i/>
        </w:rPr>
        <w:t>Gurudikdas</w:t>
      </w:r>
      <w:r>
        <w:t>, 2022, https://gurudikdas.kemdikbud.go.id/news/transformasi-digital-dalam-pemulihan-pendidikan-pasca-pandemi.</w:t>
      </w:r>
      <w:r>
        <w:fldChar w:fldCharType="end"/>
      </w:r>
    </w:p>
  </w:footnote>
  <w:footnote w:id="2">
    <w:p>
      <w:pPr>
        <w:pStyle w:val="11"/>
        <w:rPr>
          <w:lang w:val="id-ID"/>
        </w:rPr>
      </w:pPr>
      <w:r>
        <w:rPr>
          <w:rStyle w:val="10"/>
        </w:rPr>
        <w:footnoteRef/>
      </w:r>
      <w:r>
        <w:t xml:space="preserve"> </w:t>
      </w:r>
      <w:r>
        <w:fldChar w:fldCharType="begin" w:fldLock="1"/>
      </w:r>
      <w:r>
        <w:instrText xml:space="preserve">ADDIN CSL_CITATION {"citationItems":[{"id":"ITEM-1","itemData":{"DOI":"10.36088/islamika.v3i1.1047","ISSN":"2656-5382","abstract":"The development of information technology which is increasingly rapid in the current era of globalization cannot be avoided anymore its impact on the world of education. Global demands require the world of education to always adjust technological developments to efforts to improve the quality of education, especially adjusting the use of information and communication technology for education, especially in the learning process. This research is a library research method. Educational technology is the application of scientific knowledge to learning, as a result of which learning objectives can be achieved effectively and efficiently, which are not only limited to tools and goods or hardware but also software, and brainware. In the development and utilization of learning technology there are still three basic principles, namely: 1) System approach, 2) Learner centered, 3) Utilization of learning resources as much as possible (utilizing learning resources). The results of the study illustrate that educational technology has a very crucial role in learning. So it can be said that the discovery of educational technology education is a unity that cannot be separated.","author":[{"dropping-particle":"","family":"Agustian","given":"Niar","non-dropping-particle":"","parse-names":false,"suffix":""},{"dropping-particle":"","family":"Salsabila","given":"Unik Hanifah","non-dropping-particle":"","parse-names":false,"suffix":""}],"container-title":"Islamika","id":"ITEM-1","issue":"1","issued":{"date-parts":[["2021"]]},"page":"123-133","title":"Peran Teknologi Pendidikan dalam Pembelajaran","type":"article-journal","volume":"3"},"uris":["http://www.mendeley.com/documents/?uuid=2d8d1c02-b675-43a2-89fd-bac18c18a04d"]}],"mendeley":{"formattedCitation":"Niar Agustian and Unik Hanifah Salsabila, “Peran Teknologi Pendidikan Dalam Pembelajaran,” &lt;i&gt;Islamika&lt;/i&gt; 3, no. 1 (2021): 123–33, doi:10.36088/islamika.v3i1.1047.","plainTextFormattedCitation":"Niar Agustian and Unik Hanifah Salsabila, “Peran Teknologi Pendidikan Dalam Pembelajaran,” Islamika 3, no. 1 (2021): 123–33, doi:10.36088/islamika.v3i1.1047.","previouslyFormattedCitation":"Niar Agustian and Unik Hanifah Salsabila, “Peran Teknologi Pendidikan Dalam Pembelajaran,” &lt;i&gt;Islamika&lt;/i&gt; 3, no. 1 (2021): 123–33, doi:10.36088/islamika.v3i1.1047."},"properties":{"noteIndex":3},"schema":"https://github.com/citation-style-language/schema/raw/master/csl-citation.json"}</w:instrText>
      </w:r>
      <w:r>
        <w:fldChar w:fldCharType="separate"/>
      </w:r>
      <w:r>
        <w:t xml:space="preserve">Niar Agustian and Unik Hanifah Salsabila, “Peran Teknologi Pendidikan Dalam Pembelajaran,” </w:t>
      </w:r>
      <w:r>
        <w:rPr>
          <w:i/>
        </w:rPr>
        <w:t>Islamika</w:t>
      </w:r>
      <w:r>
        <w:t xml:space="preserve"> 3, no. 1 (2021): 123–33, doi:10.36088/islamika.v3i1.1047.</w:t>
      </w:r>
      <w:r>
        <w:fldChar w:fldCharType="end"/>
      </w:r>
    </w:p>
  </w:footnote>
  <w:footnote w:id="3">
    <w:p>
      <w:pPr>
        <w:pStyle w:val="11"/>
        <w:rPr>
          <w:lang w:val="id-ID"/>
        </w:rPr>
      </w:pPr>
      <w:r>
        <w:rPr>
          <w:rStyle w:val="10"/>
        </w:rPr>
        <w:footnoteRef/>
      </w:r>
      <w:r>
        <w:t xml:space="preserve"> </w:t>
      </w:r>
      <w:r>
        <w:fldChar w:fldCharType="begin" w:fldLock="1"/>
      </w:r>
      <w:r>
        <w:instrText xml:space="preserve">ADDIN CSL_CITATION {"citationItems":[{"id":"ITEM-1","itemData":{"DOI":"10.36088/palapa.v5i2.46","ISSN":"2338-2325","abstract":"Perkembangan tehnologi digital merupakan hasil rekayasa akal, pikiran dan kecerdasan manusia, yang tercermin dalam kemajuan ilmu pengetahuan, selanjutnya memberikan manfaat dalam segala aspek kehidupan manusia. Dalam perkembangan komunikasi manusia telah berhasil membawa kemajuan yang sangat pesat. The development of digital technologies is the result of engineering intellect, mind and human intelligence, which is reflected in the advancement of science, and provides benefits in all aspects of human life. In the development of human communication has managed to bring a very rapid progression, from communication to manually change into analog, digital, where technology has provided ease in communicating quickly, without alimited distance, space and time through the Internet. Based on the data of Internet users in Indonesia 2016 as much as 132.7 million people from a total population of Indonesia as much as 256.2 million people, certainly the year 2017 is much more rapid development. From the results of a survey by the Association of organizers of Internet network , revealed that, on average, through the Internet in Indonesia 67.2 million or 50.7 percent, to access via mobile devices and the computer. In West NusaTenggara as many as 3.3 million or 64 percent. The number of internet users from 80 percent of who mareaged 15-19 years, meaning the teenage is still recorded as learners. Therefore the purpose of this paper is to find out how digital technology benefits against the motivation of learners. The method use disdescriptive qualitative studies. As the analysis of data and information furnished observations, document definitions obtained from books written by experts and scripts through social media or the Internet. Discussion of the results obtained positive influence motivation towards learning digital technology learners. With a fixed geared to anticipate the negative influence posed that can disrupt moral behavior, and thus a threat motivation learning learners. Because energy must begiven Faith, discipline on an ongoing basis, in order to take advantage of positive tehnology digital to enhance learning motivation of learners.","author":[{"dropping-particle":"","family":"Muhasim","given":"Muhasim","non-dropping-particle":"","parse-names":false,"suffix":""}],"container-title":"Palapa","id":"ITEM-1","issue":"2","issued":{"date-parts":[["2017"]]},"page":"53-77","title":"Pengaruh Tehnologi Digital terhadap Motivasi Belajar Peserta Didik","type":"article-journal","volume":"5"},"uris":["http://www.mendeley.com/documents/?uuid=585bec92-0ecf-481c-8837-60febefac0e0"]}],"mendeley":{"formattedCitation":"Muhasim Muhasim, “Pengaruh Tehnologi Digital Terhadap Motivasi Belajar Peserta Didik,” &lt;i&gt;Palapa&lt;/i&gt; 5, no. 2 (2017): 53–77, doi:10.36088/palapa.v5i2.46.","plainTextFormattedCitation":"Muhasim Muhasim, “Pengaruh Tehnologi Digital Terhadap Motivasi Belajar Peserta Didik,” Palapa 5, no. 2 (2017): 53–77, doi:10.36088/palapa.v5i2.46.","previouslyFormattedCitation":"Muhasim Muhasim, “Pengaruh Tehnologi Digital Terhadap Motivasi Belajar Peserta Didik,” &lt;i&gt;Palapa&lt;/i&gt; 5, no. 2 (2017): 53–77, doi:10.36088/palapa.v5i2.46."},"properties":{"noteIndex":4},"schema":"https://github.com/citation-style-language/schema/raw/master/csl-citation.json"}</w:instrText>
      </w:r>
      <w:r>
        <w:fldChar w:fldCharType="separate"/>
      </w:r>
      <w:r>
        <w:t xml:space="preserve">Muhasim Muhasim, “Pengaruh Tehnologi Digital Terhadap Motivasi Belajar Peserta Didik,” </w:t>
      </w:r>
      <w:r>
        <w:rPr>
          <w:i/>
        </w:rPr>
        <w:t>Palapa</w:t>
      </w:r>
      <w:r>
        <w:t xml:space="preserve"> 5, no. 2 (2017): 53–77, doi:10.36088/palapa.v5i2.46.</w:t>
      </w:r>
      <w:r>
        <w:fldChar w:fldCharType="end"/>
      </w:r>
    </w:p>
  </w:footnote>
  <w:footnote w:id="4">
    <w:p>
      <w:pPr>
        <w:pStyle w:val="11"/>
        <w:rPr>
          <w:lang w:val="id-ID"/>
        </w:rPr>
      </w:pPr>
      <w:r>
        <w:rPr>
          <w:rStyle w:val="10"/>
        </w:rPr>
        <w:footnoteRef/>
      </w:r>
      <w:r>
        <w:t xml:space="preserve"> </w:t>
      </w:r>
      <w:r>
        <w:fldChar w:fldCharType="begin" w:fldLock="1"/>
      </w:r>
      <w:r>
        <w:instrText xml:space="preserve">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nedi","given":"Agus","non-dropping-particle":"","parse-names":false,"suffix":""},{"dropping-particle":"","family":"Hartati","given":"Suci","non-dropping-particle":"","parse-names":false,"suffix":""}],"container-title":"Jurnal Mubtadiin, Vol. 8 No. 01 Januari-Juni 2022 https://journal.an-nur.ac.id/index.php/mubtadiin","id":"ITEM-1","issued":{"date-parts":[["2019"]]},"page":"9-25","title":"Moderasi Pendidikan Islam Melalui Gerakan Literasi Digital Di Madrasah","type":"article-journal"},"uris":["http://www.mendeley.com/documents/?uuid=1d5d51e5-201f-493a-b540-8a31c1743469"]}],"mendeley":{"formattedCitation":"Agus Kenedi and Suci Hartati, “Moderasi Pendidikan Islam Melalui Gerakan Literasi Digital Di Madrasah,” &lt;i&gt;Jurnal Mubtadiin, Vol. 8 No. 01 Januari-Juni 2022 Https://Journal.an-Nur.Ac.Id/Index.Php/Mubtadiin&lt;/i&gt;, 2019, 9–25.","plainTextFormattedCitation":"Agus Kenedi and Suci Hartati, “Moderasi Pendidikan Islam Melalui Gerakan Literasi Digital Di Madrasah,” Jurnal Mubtadiin, Vol. 8 No. 01 Januari-Juni 2022 Https://Journal.an-Nur.Ac.Id/Index.Php/Mubtadiin, 2019, 9–25.","previouslyFormattedCitation":"Agus Kenedi and Suci Hartati, “Moderasi Pendidikan Islam Melalui Gerakan Literasi Digital Di Madrasah,” &lt;i&gt;Jurnal Mubtadiin, Vol. 8 No. 01 Januari-Juni 2022 Https://Journal.an-Nur.Ac.Id/Index.Php/Mubtadiin&lt;/i&gt;, 2019, 9–25."},"properties":{"noteIndex":5},"schema":"https://github.com/citation-style-language/schema/raw/master/csl-citation.json"}</w:instrText>
      </w:r>
      <w:r>
        <w:fldChar w:fldCharType="separate"/>
      </w:r>
      <w:r>
        <w:t xml:space="preserve">Agus Kenedi and Suci Hartati, “Moderasi Pendidikan Islam Melalui Gerakan Literasi Digital Di Madrasah,” </w:t>
      </w:r>
      <w:r>
        <w:rPr>
          <w:i/>
        </w:rPr>
        <w:t>Jurnal Mubtadiin, Vol. 8 No. 01 Januari-Juni 2022 Https://Journal.an-Nur.Ac.Id/Index.Php/Mubtadiin</w:t>
      </w:r>
      <w:r>
        <w:t>, 2019, 9–25.</w:t>
      </w:r>
      <w:r>
        <w:fldChar w:fldCharType="end"/>
      </w:r>
    </w:p>
  </w:footnote>
  <w:footnote w:id="5">
    <w:p>
      <w:pPr>
        <w:pStyle w:val="11"/>
        <w:rPr>
          <w:lang w:val="id-ID"/>
        </w:rPr>
      </w:pPr>
      <w:r>
        <w:rPr>
          <w:rStyle w:val="10"/>
        </w:rPr>
        <w:footnoteRef/>
      </w:r>
      <w:r>
        <w:t xml:space="preserve"> </w:t>
      </w:r>
      <w:r>
        <w:fldChar w:fldCharType="begin" w:fldLock="1"/>
      </w:r>
      <w:r>
        <w:instrText xml:space="preserve">ADDIN CSL_CITATION {"citationItems":[{"id":"ITEM-1","itemData":{"author":[{"dropping-particle":"","family":"Kusumaningrum","given":"Hening","non-dropping-particle":"","parse-names":false,"suffix":""},{"dropping-particle":"","family":"Salsabila","given":"Unik Hanifah","non-dropping-particle":"","parse-names":false,"suffix":""},{"dropping-particle":"","family":"Rahmanti","given":"Nanik","non-dropping-particle":"","parse-names":false,"suffix":""},{"dropping-particle":"","family":"Kasanah","given":"Istiani Nur","non-dropping-particle":"","parse-names":false,"suffix":""},{"dropping-particle":"","family":"Kurniawan","given":"Dian Sidik","non-dropping-particle":"","parse-names":false,"suffix":""}],"container-title":"SALIHA : Jurnal Pendidikan Agama Islam","id":"ITEM-1","issued":{"date-parts":[["2022"]]},"page":"92-114","title":"Optimalisasi Media Youtube Sebagai Media Pembelajaran Daring","type":"article-journal","volume":"5"},"uris":["http://www.mendeley.com/documents/?uuid=46f0b0c6-c310-4aee-b7aa-e4efdc4af7b4"]}],"mendeley":{"formattedCitation":"Hening Kusumaningrum et al., “Optimalisasi Media Youtube Sebagai Media Pembelajaran Daring,” &lt;i&gt;SALIHA : Jurnal Pendidikan Agama Islam&lt;/i&gt; 5 (2022): 92–114.","plainTextFormattedCitation":"Hening Kusumaningrum et al., “Optimalisasi Media Youtube Sebagai Media Pembelajaran Daring,” SALIHA : Jurnal Pendidikan Agama Islam 5 (2022): 92–114.","previouslyFormattedCitation":"Hening Kusumaningrum et al., “Optimalisasi Media Youtube Sebagai Media Pembelajaran Daring,” &lt;i&gt;SALIHA : Jurnal Pendidikan Agama Islam&lt;/i&gt; 5 (2022): 92–114."},"properties":{"noteIndex":6},"schema":"https://github.com/citation-style-language/schema/raw/master/csl-citation.json"}</w:instrText>
      </w:r>
      <w:r>
        <w:fldChar w:fldCharType="separate"/>
      </w:r>
      <w:r>
        <w:t xml:space="preserve">Hening Kusumaningrum et al., “Optimalisasi Media Youtube Sebagai Media Pembelajaran Daring,” </w:t>
      </w:r>
      <w:r>
        <w:rPr>
          <w:i/>
        </w:rPr>
        <w:t>SALIHA : Jurnal Pendidikan Agama Islam</w:t>
      </w:r>
      <w:r>
        <w:t xml:space="preserve"> 5 (2022): 92–114.</w:t>
      </w:r>
      <w:r>
        <w:fldChar w:fldCharType="end"/>
      </w:r>
    </w:p>
  </w:footnote>
  <w:footnote w:id="6">
    <w:p>
      <w:pPr>
        <w:pStyle w:val="11"/>
        <w:rPr>
          <w:lang w:val="id-ID"/>
        </w:rPr>
      </w:pPr>
      <w:r>
        <w:rPr>
          <w:rStyle w:val="10"/>
        </w:rPr>
        <w:footnoteRef/>
      </w:r>
      <w:r>
        <w:t xml:space="preserve"> </w:t>
      </w:r>
      <w:r>
        <w:fldChar w:fldCharType="begin" w:fldLock="1"/>
      </w:r>
      <w:r>
        <w:instrText xml:space="preserve">ADDIN CSL_CITATION {"citationItems":[{"id":"ITEM-1","itemData":{"DOI":"10.36088/palapa.v5i2.46","ISSN":"2338-2325","abstract":"Perkembangan tehnologi digital merupakan hasil rekayasa akal, pikiran dan kecerdasan manusia, yang tercermin dalam kemajuan ilmu pengetahuan, selanjutnya memberikan manfaat dalam segala aspek kehidupan manusia. Dalam perkembangan komunikasi manusia telah berhasil membawa kemajuan yang sangat pesat. The development of digital technologies is the result of engineering intellect, mind and human intelligence, which is reflected in the advancement of science, and provides benefits in all aspects of human life. In the development of human communication has managed to bring a very rapid progression, from communication to manually change into analog, digital, where technology has provided ease in communicating quickly, without alimited distance, space and time through the Internet. Based on the data of Internet users in Indonesia 2016 as much as 132.7 million people from a total population of Indonesia as much as 256.2 million people, certainly the year 2017 is much more rapid development. From the results of a survey by the Association of organizers of Internet network , revealed that, on average, through the Internet in Indonesia 67.2 million or 50.7 percent, to access via mobile devices and the computer. In West NusaTenggara as many as 3.3 million or 64 percent. The number of internet users from 80 percent of who mareaged 15-19 years, meaning the teenage is still recorded as learners. Therefore the purpose of this paper is to find out how digital technology benefits against the motivation of learners. The method use disdescriptive qualitative studies. As the analysis of data and information furnished observations, document definitions obtained from books written by experts and scripts through social media or the Internet. Discussion of the results obtained positive influence motivation towards learning digital technology learners. With a fixed geared to anticipate the negative influence posed that can disrupt moral behavior, and thus a threat motivation learning learners. Because energy must begiven Faith, discipline on an ongoing basis, in order to take advantage of positive tehnology digital to enhance learning motivation of learners.","author":[{"dropping-particle":"","family":"Muhasim","given":"Muhasim","non-dropping-particle":"","parse-names":false,"suffix":""}],"container-title":"Palapa","id":"ITEM-1","issue":"2","issued":{"date-parts":[["2017"]]},"page":"53-77","title":"Pengaruh Tehnologi Digital terhadap Motivasi Belajar Peserta Didik","type":"article-journal","volume":"5"},"uris":["http://www.mendeley.com/documents/?uuid=585bec92-0ecf-481c-8837-60febefac0e0"]}],"mendeley":{"formattedCitation":"Muhasim, “Pengaruh Tehnologi Digital Terhadap Motivasi Belajar Peserta Didik.”","plainTextFormattedCitation":"Muhasim, “Pengaruh Tehnologi Digital Terhadap Motivasi Belajar Peserta Didik.”","previouslyFormattedCitation":"Muhasim, “Pengaruh Tehnologi Digital Terhadap Motivasi Belajar Peserta Didik.”"},"properties":{"noteIndex":7},"schema":"https://github.com/citation-style-language/schema/raw/master/csl-citation.json"}</w:instrText>
      </w:r>
      <w:r>
        <w:fldChar w:fldCharType="separate"/>
      </w:r>
      <w:r>
        <w:t>Muhasim, “Pengaruh Tehnologi Digital Terhadap Motivasi Belajar Peserta Didik.”</w:t>
      </w:r>
      <w:r>
        <w:fldChar w:fldCharType="end"/>
      </w:r>
    </w:p>
  </w:footnote>
  <w:footnote w:id="7">
    <w:p>
      <w:pPr>
        <w:pStyle w:val="11"/>
        <w:rPr>
          <w:lang w:val="id-ID"/>
        </w:rPr>
      </w:pPr>
      <w:r>
        <w:rPr>
          <w:rStyle w:val="10"/>
        </w:rPr>
        <w:footnoteRef/>
      </w:r>
      <w:r>
        <w:t xml:space="preserve"> </w:t>
      </w:r>
      <w:r>
        <w:fldChar w:fldCharType="begin" w:fldLock="1"/>
      </w:r>
      <w:r>
        <w:instrText xml:space="preserve">ADDIN CSL_CITATION {"citationItems":[{"id":"ITEM-1","itemData":{"ISBN":"9789793649726","abstract":"… Strategi utama organisasi harus disesuaikan, sumber daya manusia harus ditingkatkan kemampuannya, infrastruktur yang dimiliki harus disesuaikan … Karena untuk memutus rantai penyebaran covid-19, semua orang diminta tidak bertemu secara fisik tetapi melalui media …","author":[{"dropping-particle":"","family":"Hadiono","given":"Kristophorus","non-dropping-particle":"","parse-names":false,"suffix":""},{"dropping-particle":"","family":"Noor Santi","given":"Rina Candra","non-dropping-particle":"","parse-names":false,"suffix":""}],"container-title":"Proceeding Sendiu","id":"ITEM-1","issue":"July","issued":{"date-parts":[["2020"]]},"page":"978-979","title":"Menyongsong Transformasi Digital","type":"article-journal"},"uris":["http://www.mendeley.com/documents/?uuid=1ea00fb8-766b-4e70-914f-62fdbac0cb9f"]}],"mendeley":{"formattedCitation":"Kristophorus Hadiono and Rina Candra Noor Santi, “Menyongsong Transformasi Digital,” &lt;i&gt;Proceeding Sendiu&lt;/i&gt;, no. July (2020): 978–79, https://www.researchgate.net/publication/343135526_MENYONGSONG_TRANSFORMASI_DIGITAL.","plainTextFormattedCitation":"Kristophorus Hadiono and Rina Candra Noor Santi, “Menyongsong Transformasi Digital,” Proceeding Sendiu, no. July (2020): 978–79, https://www.researchgate.net/publication/343135526_MENYONGSONG_TRANSFORMASI_DIGITAL.","previouslyFormattedCitation":"Kristophorus Hadiono and Rina Candra Noor Santi, “Menyongsong Transformasi Digital,” &lt;i&gt;Proceeding Sendiu&lt;/i&gt;, no. July (2020): 978–79, https://www.researchgate.net/publication/343135526_MENYONGSONG_TRANSFORMASI_DIGITAL."},"properties":{"noteIndex":8},"schema":"https://github.com/citation-style-language/schema/raw/master/csl-citation.json"}</w:instrText>
      </w:r>
      <w:r>
        <w:fldChar w:fldCharType="separate"/>
      </w:r>
      <w:r>
        <w:t xml:space="preserve">Kristophorus Hadiono and Rina Candra Noor Santi, “Menyongsong Transformasi Digital,” </w:t>
      </w:r>
      <w:r>
        <w:rPr>
          <w:i/>
        </w:rPr>
        <w:t>Proceeding Sendiu</w:t>
      </w:r>
      <w:r>
        <w:t>, no. July (2020): 978–79, https://www.researchgate.net/publication/343135526_MENYONGSONG_TRANSFORMASI_DIGITAL.</w:t>
      </w:r>
      <w:r>
        <w:fldChar w:fldCharType="end"/>
      </w:r>
    </w:p>
  </w:footnote>
  <w:footnote w:id="8">
    <w:p>
      <w:pPr>
        <w:pStyle w:val="11"/>
        <w:rPr>
          <w:lang w:val="id-ID"/>
        </w:rPr>
      </w:pPr>
      <w:r>
        <w:rPr>
          <w:rStyle w:val="10"/>
        </w:rPr>
        <w:footnoteRef/>
      </w:r>
      <w:r>
        <w:t xml:space="preserve"> </w:t>
      </w:r>
      <w:r>
        <w:fldChar w:fldCharType="begin" w:fldLock="1"/>
      </w:r>
      <w:r>
        <w:instrText xml:space="preserve">ADDIN CSL_CITATION {"citationItems":[{"id":"ITEM-1","itemData":{"ISBN":"9789793649726","abstract":"… Strategi utama organisasi harus disesuaikan, sumber daya manusia harus ditingkatkan kemampuannya, infrastruktur yang dimiliki harus disesuaikan … Karena untuk memutus rantai penyebaran covid-19, semua orang diminta tidak bertemu secara fisik tetapi melalui media …","author":[{"dropping-particle":"","family":"Hadiono","given":"Kristophorus","non-dropping-particle":"","parse-names":false,"suffix":""},{"dropping-particle":"","family":"Noor Santi","given":"Rina Candra","non-dropping-particle":"","parse-names":false,"suffix":""}],"container-title":"Proceeding Sendiu","id":"ITEM-1","issue":"July","issued":{"date-parts":[["2020"]]},"page":"978-979","title":"Menyongsong Transformasi Digital","type":"article-journal"},"uris":["http://www.mendeley.com/documents/?uuid=1ea00fb8-766b-4e70-914f-62fdbac0cb9f"]}],"mendeley":{"formattedCitation":"Ibid.","plainTextFormattedCitation":"Ibid.","previouslyFormattedCitation":"Ibid."},"properties":{"noteIndex":9},"schema":"https://github.com/citation-style-language/schema/raw/master/csl-citation.json"}</w:instrText>
      </w:r>
      <w:r>
        <w:fldChar w:fldCharType="separate"/>
      </w:r>
      <w:r>
        <w:t>Ibid.</w:t>
      </w:r>
      <w:r>
        <w:fldChar w:fldCharType="end"/>
      </w:r>
    </w:p>
  </w:footnote>
  <w:footnote w:id="9">
    <w:p>
      <w:pPr>
        <w:pStyle w:val="11"/>
        <w:rPr>
          <w:lang w:val="id-ID"/>
        </w:rPr>
      </w:pPr>
      <w:r>
        <w:rPr>
          <w:rStyle w:val="10"/>
        </w:rPr>
        <w:footnoteRef/>
      </w:r>
      <w:r>
        <w:t xml:space="preserve"> </w:t>
      </w:r>
      <w:r>
        <w:rPr>
          <w:lang w:val="id-ID"/>
        </w:rPr>
        <w:t xml:space="preserve">Muhibbin Syah. </w:t>
      </w:r>
      <w:r>
        <w:rPr>
          <w:i/>
          <w:iCs/>
          <w:lang w:val="id-ID"/>
        </w:rPr>
        <w:t>Psikologi Pendidikan dengan Pendekatan Baru</w:t>
      </w:r>
      <w:r>
        <w:rPr>
          <w:lang w:val="id-ID"/>
        </w:rPr>
        <w:t>. Bandung : PT Remaja Rosdakarya, 2002.</w:t>
      </w:r>
    </w:p>
  </w:footnote>
  <w:footnote w:id="10">
    <w:p>
      <w:pPr>
        <w:pStyle w:val="11"/>
        <w:rPr>
          <w:lang w:val="id-ID"/>
        </w:rPr>
      </w:pPr>
      <w:r>
        <w:rPr>
          <w:rStyle w:val="10"/>
        </w:rPr>
        <w:footnoteRef/>
      </w:r>
      <w:r>
        <w:t xml:space="preserve"> </w:t>
      </w:r>
      <w:r>
        <w:fldChar w:fldCharType="begin" w:fldLock="1"/>
      </w:r>
      <w:r>
        <w:instrText xml:space="preserve">ADDIN CSL_CITATION {"citationItems":[{"id":"ITEM-1","itemData":{"abstract":"There are three basic components of human inborn. These components are body or bodies, spirit, and mind. One of them is the body, developed in accordance with sunatullah means if humans consume food nutrition enough he will tumbun and grow like plants and other creatures. While the spirit and sense evolved to explore themselves through the process pendidikan.Ketiganya, is a unified whole and round and inseparable. According Jalaluddin purpose of Islamic education should be formulated from philosophical values contained in the philosophy of Islamic education. The purpose of Islamic education according to him is identical to the goal of Islam itself. According to Abdurrahman Saleh Abdullah, there are three main objectives of Islamic education, that \"the purpose of physical (ahdaf al-jismiyyah), spiritual cause (ahdaf a Therefore, the education mempunyal-ruhiyyah), and objectives of mental (ahdaf al-'aqliyyah)\".","author":[{"dropping-particle":"","family":"Pendidikan","given":"Dosen","non-dropping-particle":"","parse-names":false,"suffix":""},{"dropping-particle":"","family":"Islam","given":"Agama","non-dropping-particle":"","parse-names":false,"suffix":""},{"dropping-particle":"","family":"Raden","given":"Ftk Iain","non-dropping-particle":"","parse-names":false,"suffix":""},{"dropping-particle":"","family":"Lampung","given":"Intan","non-dropping-particle":"","parse-names":false,"suffix":""}],"container-title":"Jurnal Pendidikan Islam","id":"ITEM-1","issue":"November","issued":{"date-parts":[["2015"]]},"page":"151-166","title":"Tujuan Pendidikan Islam Imam Syafe'I","type":"article-journal","volume":"6"},"uris":["http://www.mendeley.com/documents/?uuid=cc475617-2408-4ec9-8da1-a00c84ba958f"]}],"mendeley":{"formattedCitation":"Dosen Pendidikan et al., “Tujuan Pendidikan Islam Imam Syafe’I,” &lt;i&gt;Jurnal Pendidikan Islam&lt;/i&gt; 6, no. November (2015): 151–66.","plainTextFormattedCitation":"Dosen Pendidikan et al., “Tujuan Pendidikan Islam Imam Syafe’I,” Jurnal Pendidikan Islam 6, no. November (2015): 151–66.","previouslyFormattedCitation":"Dosen Pendidikan et al., “Tujuan Pendidikan Islam Imam Syafe’I,” &lt;i&gt;Jurnal Pendidikan Islam&lt;/i&gt; 6, no. November (2015): 151–66."},"properties":{"noteIndex":11},"schema":"https://github.com/citation-style-language/schema/raw/master/csl-citation.json"}</w:instrText>
      </w:r>
      <w:r>
        <w:fldChar w:fldCharType="separate"/>
      </w:r>
      <w:r>
        <w:t xml:space="preserve">Dosen Pendidikan et al., “Tujuan Pendidikan Islam Imam Syafe’I,” </w:t>
      </w:r>
      <w:r>
        <w:rPr>
          <w:i/>
        </w:rPr>
        <w:t>Jurnal Pendidikan Islam</w:t>
      </w:r>
      <w:r>
        <w:t xml:space="preserve"> 6, no. November (2015): 151–66.</w:t>
      </w:r>
      <w:r>
        <w:fldChar w:fldCharType="end"/>
      </w:r>
    </w:p>
  </w:footnote>
  <w:footnote w:id="11">
    <w:p>
      <w:pPr>
        <w:pStyle w:val="11"/>
        <w:rPr>
          <w:lang w:val="id-ID"/>
        </w:rPr>
      </w:pPr>
      <w:r>
        <w:rPr>
          <w:rStyle w:val="10"/>
        </w:rPr>
        <w:footnoteRef/>
      </w:r>
      <w:r>
        <w:t xml:space="preserve"> </w:t>
      </w:r>
      <w:r>
        <w:rPr>
          <w:lang w:val="id-ID"/>
        </w:rPr>
        <w:t>Al-Qardhawi Yusuf, “Pendidikan Islam dan Madrasah Hasan Al-Banna”, terj. Bustami A. Gani dan Zainal Ahmad, Jakarta: Bulan Bintang, 1980</w:t>
      </w:r>
    </w:p>
  </w:footnote>
  <w:footnote w:id="12">
    <w:p>
      <w:pPr>
        <w:pStyle w:val="11"/>
        <w:rPr>
          <w:lang w:val="id-ID"/>
        </w:rPr>
      </w:pPr>
      <w:r>
        <w:rPr>
          <w:rStyle w:val="10"/>
        </w:rPr>
        <w:footnoteRef/>
      </w:r>
      <w:r>
        <w:t xml:space="preserve"> </w:t>
      </w:r>
      <w:r>
        <w:rPr>
          <w:lang w:val="id-ID"/>
        </w:rPr>
        <w:t xml:space="preserve">Mulkhan, Abdul Munir. </w:t>
      </w:r>
      <w:r>
        <w:rPr>
          <w:i/>
          <w:iCs/>
          <w:lang w:val="id-ID"/>
        </w:rPr>
        <w:t xml:space="preserve">Paradigma Intelektual Muslim. </w:t>
      </w:r>
      <w:r>
        <w:rPr>
          <w:lang w:val="id-ID"/>
        </w:rPr>
        <w:t>Yogyakarta: Sipress, 1993.</w:t>
      </w:r>
    </w:p>
  </w:footnote>
  <w:footnote w:id="13">
    <w:p>
      <w:pPr>
        <w:pStyle w:val="11"/>
        <w:rPr>
          <w:lang w:val="id-ID"/>
        </w:rPr>
      </w:pPr>
      <w:r>
        <w:rPr>
          <w:rStyle w:val="10"/>
        </w:rPr>
        <w:footnoteRef/>
      </w:r>
      <w:r>
        <w:t xml:space="preserve"> </w:t>
      </w:r>
      <w:r>
        <w:fldChar w:fldCharType="begin" w:fldLock="1"/>
      </w:r>
      <w:r>
        <w:instrText xml:space="preserve">ADDIN CSL_CITATION {"citationItems":[{"id":"ITEM-1","itemData":{"DOI":"10.57251/ie.v1i1.9","abstract":"Konsep manusia menurut  kajian Hasan Langgulung terdiri dari berbagai konsep-konsep dasar meliputi konsep khalifah Allah di muka bumi yang mengandung potensi seperti fitrah manusia, Roh disamping pemenuhan kebutuhan jasmani, kebebasan kemauan manusia dan potensi akal pikiran. Konsep lainnya adalah tentang kejadian atau penciptaan manusia serta tujuan hidupnya, sifat-sifat asal manusia, konsep amanah manusia, dan terakhir perjanjian antara Tuhan dan manusia (mithaq). Mengenai implikasi konsep manusia menurut Hasan Langgulung adalah pada intinya, Pendidikan Islam dalam pada tujuan akhir (ultimate aim) adalah pembentukan pribadi khalifah bagi anak didik yang ciri-cirinya terkandung dalam konsep ‘ibadah dan amanah yaitu memiliki fitrah, roh disamping badan, kemauan yang bebas, dan akal. Dengan kata lain tugas pendidikan adalah mengembangkan keempat aspek ini pada manusia agar ia dapat menempati kedudukan sebagai khalifah.\r \r \r \r \r Kelemahan daripada kajian Hasan Langgulung mengenai manusia antara lain dalam hal tulisan, Hasan Langgulung tidak menulis kajian tentang manusia secara utuh, tulisan yang ada tersebar dari berbagai tulisan dan buku. Dalam hal teknis pemaparan, Hasan Langgulung dalam mengungkapkan  tentang konsep manusia terjadi tumpang tindih dan tidak sistematik, mungkin dikarenakan luasnya wilayah kajian ini.  Bebrapa hal yang masih menjadi perdebatan adalah tentang konsep kebebasan kemauan manusia, Hasan Langgulung tidak dengan secara tegas menyatakan bahwa kebebasan yang Allah berikan kepada manusia. . Bahwa konsep khalifah Allah sudah cukup untuk menafikan wujud kebebasan itu sendiri. Dalam hal ini kebebasan yang diberikan Allah kepada manusia sifatnya terbatas, Hasan Langgulung lebih cenderung pada pemikiran Asy’ary yang mencoba mengsintesakan antara kehendak Tuhan dan kehendak manusia. Pemikiran ini menimbulkan ambivalensi, bahwa disatu sisi manusia diberikan kebebasan dalam berpikir dan berkehendak dan disini lain, peranan Tuhan sangat dominan dalam hal pembentukan perbuatan manusia, dengan memakai konsep iradat-Nya, sehingga dalam praktik pendidikan Islam, Langgulung terkesan ragu dan pessimistik. Hasan Langgulung juga mengakui bahwa konsep yang ia paparkan adalah sangat mendasar, maka ia menyatakan bahwa tulisan tidak dapat dijadikan sebagai bimbingan dan acuan yang jelas terhadap pendidikan Islam secara praktis. Untuk itu sangat diperlukan buku atau kajian yang lebih komprehensif lagi dalam mendukung kajian tersebut, sehingga didapatkan…","author":[{"dropping-particle":"","family":"Putra Daulay","given":"Haidar","non-dropping-particle":"","parse-names":false,"suffix":""},{"dropping-particle":"","family":"Dahlan","given":"Zaini","non-dropping-particle":"","parse-names":false,"suffix":""},{"dropping-particle":"","family":"Aimanun","given":"","non-dropping-particle":"","parse-names":false,"suffix":""},{"dropping-particle":"","family":"Siregar","given":"Akublan","non-dropping-particle":"","parse-names":false,"suffix":""}],"container-title":"Islamic Education","id":"ITEM-1","issue":"1","issued":{"date-parts":[["2021"]]},"page":"11-20","title":"Manusia dalam Pendidikan Islam Menurut Hasan Langgulung","type":"article-journal","volume":"1"},"uris":["http://www.mendeley.com/documents/?uuid=1614820c-68a9-466c-980d-ce1f16af4807"]}],"mendeley":{"formattedCitation":"Haidar Putra Daulay et al., “Manusia Dalam Pendidikan Islam Menurut Hasan Langgulung,” &lt;i&gt;Islamic Education&lt;/i&gt; 1, no. 1 (2021): 11–20, doi:10.57251/ie.v1i1.9.","plainTextFormattedCitation":"Haidar Putra Daulay et al., “Manusia Dalam Pendidikan Islam Menurut Hasan Langgulung,” Islamic Education 1, no. 1 (2021): 11–20, doi:10.57251/ie.v1i1.9.","previouslyFormattedCitation":"Haidar Putra Daulay et al., “Manusia Dalam Pendidikan Islam Menurut Hasan Langgulung,” &lt;i&gt;Islamic Education&lt;/i&gt; 1, no. 1 (2021): 11–20, doi:10.57251/ie.v1i1.9."},"properties":{"noteIndex":14},"schema":"https://github.com/citation-style-language/schema/raw/master/csl-citation.json"}</w:instrText>
      </w:r>
      <w:r>
        <w:fldChar w:fldCharType="separate"/>
      </w:r>
      <w:r>
        <w:t xml:space="preserve">Haidar Putra Daulay et al., “Manusia Dalam Pendidikan Islam Menurut Hasan Langgulung,” </w:t>
      </w:r>
      <w:r>
        <w:rPr>
          <w:i/>
        </w:rPr>
        <w:t>Islamic Education</w:t>
      </w:r>
      <w:r>
        <w:t xml:space="preserve"> 1, no. 1 (2021): 11–20, doi:10.57251/ie.v1i1.9.</w:t>
      </w:r>
      <w:r>
        <w:fldChar w:fldCharType="end"/>
      </w:r>
    </w:p>
  </w:footnote>
  <w:footnote w:id="14">
    <w:p>
      <w:pPr>
        <w:pStyle w:val="11"/>
        <w:rPr>
          <w:lang w:val="id-ID"/>
        </w:rPr>
      </w:pPr>
      <w:r>
        <w:rPr>
          <w:rStyle w:val="10"/>
        </w:rPr>
        <w:footnoteRef/>
      </w:r>
      <w:r>
        <w:t xml:space="preserve"> </w:t>
      </w:r>
      <w:r>
        <w:rPr>
          <w:lang w:val="id-ID"/>
        </w:rPr>
        <w:t xml:space="preserve">Marimba, Ahmad D. </w:t>
      </w:r>
      <w:r>
        <w:rPr>
          <w:i/>
          <w:iCs/>
          <w:lang w:val="id-ID"/>
        </w:rPr>
        <w:t xml:space="preserve">Pengantar Filsafat Pendidikan Islam, </w:t>
      </w:r>
      <w:r>
        <w:rPr>
          <w:lang w:val="id-ID"/>
        </w:rPr>
        <w:t>Bandung: PT Alma’arif, 1980.</w:t>
      </w:r>
    </w:p>
  </w:footnote>
  <w:footnote w:id="15">
    <w:p>
      <w:pPr>
        <w:pStyle w:val="11"/>
        <w:rPr>
          <w:lang w:val="id-ID"/>
        </w:rPr>
      </w:pPr>
      <w:r>
        <w:rPr>
          <w:rStyle w:val="10"/>
        </w:rPr>
        <w:footnoteRef/>
      </w:r>
      <w:r>
        <w:t xml:space="preserve"> </w:t>
      </w:r>
      <w:r>
        <w:fldChar w:fldCharType="begin" w:fldLock="1"/>
      </w:r>
      <w:r>
        <w:instrText xml:space="preserve">ADDIN CSL_CITATION {"citationItems":[{"id":"ITEM-1","itemData":{"DOI":"10.25078/aw.v4i1.927","ISSN":"25275445","abstract":"&lt;p&gt;Latar belakang  tulisan ini adalah untuk membahas tentang (1)  fungsi dan tujuan pendidikan di Indonesia.  (2) Penyelenggaraan Pendidikan Nasional (3) Fungsi Dan Tujuan Pendidikan Bagi Masyarakat . Kajian ini penting sebagai dasar arah pelaksanaan pendidikan di Indonesia. Dari berbagai perrspektif tentang fungsi dan tujuan pendidikan telah jelas terlihat bahwa pendidikan di indonesia berupaya untuk menciptakan bangsa yang cakap, beriman, bertaqwa kepada Tuhan serta memilki pengetahuan yang baik dan wawasan kebangsaan. Pendidikan di Indonesi sangat berperan penting dalam membangu masyarakat. Melalui pendidikan,masyarakat melakukan transformasi budaya, menciptakan tenaga kerja, menciptakan alat kontrol sosial dan lain sebagainya. Dengan demikian perkembangan masyarakat dapat berjalan secara berkelanjutan. Berdasarkan kelima fungsi dan tujuan pendidikan bagi masyrakat tentunya masyarakat akan sangat diuntungkan dalam hal birokrasi, sosial dan ketenagakerjaannya.&lt;/p&gt;","author":[{"dropping-particle":"","family":"Sujana","given":"I Wayan Cong","non-dropping-particle":"","parse-names":false,"suffix":""}],"container-title":"Adi Widya: Jurnal Pendidikan Dasar","id":"ITEM-1","issue":"1","issued":{"date-parts":[["2019"]]},"page":"29","title":"Fungsi Dan Tujuan Pendidikan Indonesia","type":"article-journal","volume":"4"},"uris":["http://www.mendeley.com/documents/?uuid=4cf358bd-0715-4ff1-8597-bfd69aa0d3e4"]}],"mendeley":{"formattedCitation":"I Wayan Cong Sujana, “Fungsi Dan Tujuan Pendidikan Indonesia,” &lt;i&gt;Adi Widya: Jurnal Pendidikan Dasar&lt;/i&gt; 4, no. 1 (2019): 29, doi:10.25078/aw.v4i1.927.","plainTextFormattedCitation":"I Wayan Cong Sujana, “Fungsi Dan Tujuan Pendidikan Indonesia,” Adi Widya: Jurnal Pendidikan Dasar 4, no. 1 (2019): 29, doi:10.25078/aw.v4i1.927.","previouslyFormattedCitation":"I Wayan Cong Sujana, “Fungsi Dan Tujuan Pendidikan Indonesia,” &lt;i&gt;Adi Widya: Jurnal Pendidikan Dasar&lt;/i&gt; 4, no. 1 (2019): 29, doi:10.25078/aw.v4i1.927."},"properties":{"noteIndex":16},"schema":"https://github.com/citation-style-language/schema/raw/master/csl-citation.json"}</w:instrText>
      </w:r>
      <w:r>
        <w:fldChar w:fldCharType="separate"/>
      </w:r>
      <w:r>
        <w:t xml:space="preserve">I Wayan Cong Sujana, “Fungsi Dan Tujuan Pendidikan Indonesia,” </w:t>
      </w:r>
      <w:r>
        <w:rPr>
          <w:i/>
        </w:rPr>
        <w:t>Adi Widya: Jurnal Pendidikan Dasar</w:t>
      </w:r>
      <w:r>
        <w:t xml:space="preserve"> 4, no. 1 (2019): 29, doi:10.25078/aw.v4i1.927.</w:t>
      </w:r>
      <w:r>
        <w:fldChar w:fldCharType="end"/>
      </w:r>
    </w:p>
  </w:footnote>
  <w:footnote w:id="16">
    <w:p>
      <w:pPr>
        <w:pStyle w:val="11"/>
        <w:rPr>
          <w:lang w:val="id-ID"/>
        </w:rPr>
      </w:pPr>
      <w:r>
        <w:rPr>
          <w:rStyle w:val="10"/>
        </w:rPr>
        <w:footnoteRef/>
      </w:r>
      <w:r>
        <w:t xml:space="preserve"> </w:t>
      </w:r>
      <w:r>
        <w:fldChar w:fldCharType="begin" w:fldLock="1"/>
      </w:r>
      <w:r>
        <w:instrText xml:space="preserve">ADDIN CSL_CITATION {"citationItems":[{"id":"ITEM-1","itemData":{"DOI":"10.33172/jmb.v6i2.623","abstract":"The disasters that occur not only have an impact on casualties and material damage and losses, but also raise the potential of the community to become persons with disabilities. Persons with disabilities in Indonesia are increasingly vulnerable because of the mismatch between disaster risk reduction efforts and the diverse needs of these groups. Therefore, it is very important to study disaster risk reduction efforts through the involvement of persons with disabilities in Indonesia to be more sensitive to the needs of each type of disability. This writing uses a library research method with a library approach. The involvement of persons with disabilities in disaster management activities will further ensure the fulfillment of the needs of persons with disabilities and their handling in the event of a disaster. However, it must be realized that the involvement of persons with disabilities in disaster management efforts is not an easy task, so it requires technical skills, knowledge and good faith from the parties involved. Mainstreaming of persons with disabilities in disaster risk reduction through effective programs and policies starting from the pre-disaster stage until after the disaster occurs according to the type of disability that exists.","author":[{"dropping-particle":"","family":"Khairul Rahmat","given":"Hayatul","non-dropping-particle":"","parse-names":false,"suffix":""},{"dropping-particle":"","family":"Puspito Sari","given":"Ferra","non-dropping-particle":"","parse-names":false,"suffix":""},{"dropping-particle":"","family":"Hasanah","given":"Mutiara","non-dropping-particle":"","parse-names":false,"suffix":""},{"dropping-particle":"","family":"Pratiwi","given":"Suandara","non-dropping-particle":"","parse-names":false,"suffix":""},{"dropping-particle":"","family":"Muafi Ikhsan","given":"Achmad","non-dropping-particle":"","parse-names":false,"suffix":""},{"dropping-particle":"","family":"Rahmanisa","given":"R","non-dropping-particle":"","parse-names":false,"suffix":""},{"dropping-particle":"","family":"Pernanda","given":"Syahti","non-dropping-particle":"","parse-names":false,"suffix":""},{"dropping-particle":"","family":"Mahdi Fadil","given":"Adib","non-dropping-particle":"","parse-names":false,"suffix":""}],"container-title":"Jurnal Manajemen Bencana (JMB)","id":"ITEM-1","issue":"2","issued":{"date-parts":[["2020"]]},"page":"55-64","title":"Upaya Pengurangan Risiko Bencana Melalui Pelibatan Penyandang Disabilitas Di Indonesia: Sebuah Tinjauan Kepustakaan Disaster Risk Reduction Efforts Through Involvement of People With Disabilities in Indonesia: a Literature Review","type":"article-journal","volume":"6"},"uris":["http://www.mendeley.com/documents/?uuid=933f3ac0-f9be-4c18-85c4-4529a8939075"]}],"mendeley":{"formattedCitation":"Hayatul Khairul Rahmat et al., “Upaya Pengurangan Risiko Bencana Melalui Pelibatan Penyandang Disabilitas Di Indonesia: Sebuah Tinjauan Kepustakaan Disaster Risk Reduction Efforts Through Involvement of People With Disabilities in Indonesia: A Literature Review,” &lt;i&gt;Jurnal Manajemen Bencana (JMB)&lt;/i&gt; 6, no. 2 (2020): 55–64, doi:10.33172/jmb.v6i2.623.","plainTextFormattedCitation":"Hayatul Khairul Rahmat et al., “Upaya Pengurangan Risiko Bencana Melalui Pelibatan Penyandang Disabilitas Di Indonesia: Sebuah Tinjauan Kepustakaan Disaster Risk Reduction Efforts Through Involvement of People With Disabilities in Indonesia: A Literature Review,” Jurnal Manajemen Bencana (JMB) 6, no. 2 (2020): 55–64, doi:10.33172/jmb.v6i2.623.","previouslyFormattedCitation":"Hayatul Khairul Rahmat et al., “Upaya Pengurangan Risiko Bencana Melalui Pelibatan Penyandang Disabilitas Di Indonesia: Sebuah Tinjauan Kepustakaan Disaster Risk Reduction Efforts Through Involvement of People With Disabilities in Indonesia: A Literature Review,” &lt;i&gt;Jurnal Manajemen Bencana (JMB)&lt;/i&gt; 6, no. 2 (2020): 55–64, doi:10.33172/jmb.v6i2.623."},"properties":{"noteIndex":17},"schema":"https://github.com/citation-style-language/schema/raw/master/csl-citation.json"}</w:instrText>
      </w:r>
      <w:r>
        <w:fldChar w:fldCharType="separate"/>
      </w:r>
      <w:r>
        <w:t xml:space="preserve">Hayatul Khairul Rahmat et al., “Upaya Pengurangan Risiko Bencana Melalui Pelibatan Penyandang Disabilitas Di Indonesia: Sebuah Tinjauan Kepustakaan Disaster Risk Reduction Efforts Through Involvement of People With Disabilities in Indonesia: A Literature Review,” </w:t>
      </w:r>
      <w:r>
        <w:rPr>
          <w:i/>
        </w:rPr>
        <w:t>Jurnal Manajemen Bencana (JMB)</w:t>
      </w:r>
      <w:r>
        <w:t xml:space="preserve"> 6, no. 2 (2020): 55–64, doi:10.33172/jmb.v6i2.623.</w:t>
      </w:r>
      <w:r>
        <w:fldChar w:fldCharType="end"/>
      </w:r>
    </w:p>
  </w:footnote>
  <w:footnote w:id="17">
    <w:p>
      <w:pPr>
        <w:pStyle w:val="11"/>
        <w:rPr>
          <w:lang w:val="id-ID"/>
        </w:rPr>
      </w:pPr>
      <w:r>
        <w:rPr>
          <w:rStyle w:val="10"/>
        </w:rPr>
        <w:footnoteRef/>
      </w:r>
      <w:r>
        <w:t xml:space="preserve"> </w:t>
      </w:r>
      <w:r>
        <w:fldChar w:fldCharType="begin" w:fldLock="1"/>
      </w:r>
      <w:r>
        <w:instrText xml:space="preserve">ADDIN CSL_CITATION {"citationItems":[{"id":"ITEM-1","itemData":{"abstract":"Tulisan ini diangkat dari hasil penelitian penulis dua tahun yang lalu. Penulis menilai masih relevan untuk ditulis dan dikembangkan dalam bentuk artikel dengan bahasa yang populer untuk lebih memudahkan pembaca mencerna isi pesan yang ingin disampaikan. Tujuan pendidikan nasional harus menjadi acuan wajib para penyelenggara pendidikan dari semua jenis dan jenjang pendidikan, karena sudah menjadi amanat yang tercantum dalam Undang-undang Sisdiknas no 20 tahun 2003. Secara lahiriyah tujuan pendidikan nasional sudah mencerminkan tiga domain ideal yakni domain cognitif, apektif, dan psycomotor.namun bila dikritisi lebih cermat melalui pendekatan nilai-nilai kandungan dan semangat ayat 30 surah ar Ruum dan ayat 172 surah al ‘Araaf, akan ditemukan ketidak sesuai yang berimplikasi terhadap persepsi dan pandangan para penyelenggara pendidikan dalam bersikap terhadap para anak didik. Mengapa, karena rumusan tujuan pendidikan nasional tersebut mengesankan atau tegasnya memposisikan insan indonesia (peserta didik), belum beriman dan seolah-olah iman dan taqwa itu diperoleh melalui pendidikan. Nilai-nilai apa yang terkandung dalam dua surah ar Ruum dan al ‘Araaf, dan implikasi apa terhadap para pendidik dan peserta didik dari rumusan pendidikan nasional, serta rumusan bagaimana yang harus diperbaiki dalam tujuan pendidikan nasonal.","author":[{"dropping-particle":"","family":"Noor","given":"Tajuddin","non-dropping-particle":"","parse-names":false,"suffix":""}],"container-title":"Universitas Singaperbangsa Karawang","id":"ITEM-1","issue":"20","issued":{"date-parts":[["2018"]]},"page":"123-144","title":"Rumusan Tujuan Pendidikan Nasional Pasal 3 Undang-Undang Sistem Pendidikan Nasional No 20 Tahun 2013 Melalui Pendekatan Nilai-Nilai Yang Terkandung Dalam Ayat 30 Surah Ar-Ruum dan Ayat 172 Surah Al-‘Araaf","type":"article-journal"},"uris":["http://www.mendeley.com/documents/?uuid=4a5ba397-9c4e-40ed-9a9e-9a13811a091b"]}],"mendeley":{"formattedCitation":"Tajuddin Noor, “Rumusan Tujuan Pendidikan Nasional Pasal 3 Undang-Undang Sistem Pendidikan Nasional No 20 Tahun 2013 Melalui Pendekatan Nilai-Nilai Yang Terkandung Dalam Ayat 30 Surah Ar-Ruum Dan Ayat 172 Surah Al-‘Araaf,” &lt;i&gt;Universitas Singaperbangsa Karawang&lt;/i&gt;, no. 20 (2018): 123–44.","plainTextFormattedCitation":"Tajuddin Noor, “Rumusan Tujuan Pendidikan Nasional Pasal 3 Undang-Undang Sistem Pendidikan Nasional No 20 Tahun 2013 Melalui Pendekatan Nilai-Nilai Yang Terkandung Dalam Ayat 30 Surah Ar-Ruum Dan Ayat 172 Surah Al-‘Araaf,” Universitas Singaperbangsa Karawang, no. 20 (2018): 123–44.","previouslyFormattedCitation":"Tajuddin Noor, “Rumusan Tujuan Pendidikan Nasional Pasal 3 Undang-Undang Sistem Pendidikan Nasional No 20 Tahun 2013 Melalui Pendekatan Nilai-Nilai Yang Terkandung Dalam Ayat 30 Surah Ar-Ruum Dan Ayat 172 Surah Al-‘Araaf,” &lt;i&gt;Universitas Singaperbangsa Karawang&lt;/i&gt;, no. 20 (2018): 123–44."},"properties":{"noteIndex":18},"schema":"https://github.com/citation-style-language/schema/raw/master/csl-citation.json"}</w:instrText>
      </w:r>
      <w:r>
        <w:fldChar w:fldCharType="separate"/>
      </w:r>
      <w:r>
        <w:t xml:space="preserve">Tajuddin Noor, “Rumusan Tujuan Pendidikan Nasional Pasal 3 Undang-Undang Sistem Pendidikan Nasional No 20 Tahun 2013 Melalui Pendekatan Nilai-Nilai Yang Terkandung Dalam Ayat 30 Surah Ar-Ruum Dan Ayat 172 Surah Al-‘Araaf,” </w:t>
      </w:r>
      <w:r>
        <w:rPr>
          <w:i/>
        </w:rPr>
        <w:t>Universitas Singaperbangsa Karawang</w:t>
      </w:r>
      <w:r>
        <w:t>, no. 20 (2018): 123–44.</w:t>
      </w:r>
      <w:r>
        <w:fldChar w:fldCharType="end"/>
      </w:r>
    </w:p>
  </w:footnote>
  <w:footnote w:id="18">
    <w:p>
      <w:pPr>
        <w:pStyle w:val="11"/>
        <w:rPr>
          <w:lang w:val="id-ID"/>
        </w:rPr>
      </w:pPr>
      <w:r>
        <w:rPr>
          <w:rStyle w:val="10"/>
        </w:rPr>
        <w:footnoteRef/>
      </w:r>
      <w:r>
        <w:t xml:space="preserve"> </w:t>
      </w:r>
      <w:r>
        <w:fldChar w:fldCharType="begin" w:fldLock="1"/>
      </w:r>
      <w:r>
        <w:instrText xml:space="preserve">ADDIN CSL_CITATION {"citationItems":[{"id":"ITEM-1","itemData":{"abstract":"Pendidikan Islam dalam skala umum memberikan proses pendewasaan individu muslim/muslimah yang hendak mencapai tujuan kehidupan yang bahagia baik di dunia maupun di akhirat kelak. Pendidikan Islam pun dalam masa kini tidak ubahnya memiliki nilai-nilai normatif dan historis yang mendasarkan sumber ajaran agama Islam. Komponen-komponen pendidikan Islam, yaitu: pengertian pendidikan Islam, dasar dan tujuan pendidikan Islam, kurikulum pendidikan Islam, metode pendidikan Islam, evaluasi pendidikan Islam dan lembaga pendidikan Islam, secara umum digagas dan dikemas yang merujuk pada nilai-nilai arajan agama Islam. Pendidikan Islam yang meliputi pengertian pendidikan Islam, dasar dan tujuan pendidikan Islam, kurikulum pendidikan Islam, metode pendidikan Islam, evaluasi pendidikan Islam dan lembaga pendidikan Islam, secara umum digagas dan dikemas yang merujuk pada nilai-nilai arajan agama Islam. Pendidikan Islam yang digagas oleh Prof. H.M Arifin memiliki perbedaan dan persamaan. Persamaan  pemikiran terletak pada pengertian pendidikan Islam, dasar dan tujuan pendidikan Islam. Sedangkan perbedaan pemikiran pada komponen pendidikan Islam, kurikulum pendidikan Islam, metode pendidikan Islam, evaluasi pendidikan Islam dan lembaga pendidikan Islam.","author":[{"dropping-particle":"","family":"Muhammad Haris","given":"","non-dropping-particle":"","parse-names":false,"suffix":""}],"container-title":"Ummul Quro","id":"ITEM-1","issue":"Jurnal Ummul Qura Vol VI, No 2, September 2015   ","issued":{"date-parts":[["2015"]]},"page":"1-19","title":"Pendidikan Islam Dalam Perspektif Prof. H.M Arifin","type":"article-journal","volume":"6"},"uris":["http://www.mendeley.com/documents/?uuid=7bc86b56-96a3-4d86-886f-79e52aaaa7eb"]}],"mendeley":{"formattedCitation":"Muhammad Haris, “Pendidikan Islam Dalam Perspektif Prof. H.M Arifin,” &lt;i&gt;Ummul Quro&lt;/i&gt; 6, no. Jurnal Ummul Qura Vol VI, No 2, September 2015 (2015): 1–19, http://ejournal.kopertais4.or.id/index.php/qura/issue/view/531.","plainTextFormattedCitation":"Muhammad Haris, “Pendidikan Islam Dalam Perspektif Prof. H.M Arifin,” Ummul Quro 6, no. Jurnal Ummul Qura Vol VI, No 2, September 2015 (2015): 1–19, http://ejournal.kopertais4.or.id/index.php/qura/issue/view/531.","previouslyFormattedCitation":"Muhammad Haris, “Pendidikan Islam Dalam Perspektif Prof. H.M Arifin,” &lt;i&gt;Ummul Quro&lt;/i&gt; 6, no. Jurnal Ummul Qura Vol VI, No 2, September 2015 (2015): 1–19, http://ejournal.kopertais4.or.id/index.php/qura/issue/view/531."},"properties":{"noteIndex":19},"schema":"https://github.com/citation-style-language/schema/raw/master/csl-citation.json"}</w:instrText>
      </w:r>
      <w:r>
        <w:fldChar w:fldCharType="separate"/>
      </w:r>
      <w:r>
        <w:t xml:space="preserve">Muhammad Haris, “Pendidikan Islam Dalam Perspektif Prof. H.M Arifin,” </w:t>
      </w:r>
      <w:r>
        <w:rPr>
          <w:i/>
        </w:rPr>
        <w:t>Ummul Quro</w:t>
      </w:r>
      <w:r>
        <w:t xml:space="preserve"> 6, no. Jurnal Ummul Qura Vol VI, No 2, September 2015 (2015): 1–19, http://ejournal.kopertais4.or.id/index.php/qura/issue/view/531.</w:t>
      </w:r>
      <w:r>
        <w:fldChar w:fldCharType="end"/>
      </w:r>
    </w:p>
  </w:footnote>
  <w:footnote w:id="19">
    <w:p>
      <w:pPr>
        <w:pStyle w:val="11"/>
        <w:rPr>
          <w:lang w:val="id-ID"/>
        </w:rPr>
      </w:pPr>
      <w:r>
        <w:rPr>
          <w:rStyle w:val="10"/>
        </w:rPr>
        <w:footnoteRef/>
      </w:r>
      <w:r>
        <w:rPr>
          <w:lang w:val="id-ID"/>
        </w:rPr>
        <w:t xml:space="preserve"> Achadi, Muh Wasith. ”PENDIDIKAN ISLAM DALAM SISTEM PENDIDIKAN NASIONAL.” </w:t>
      </w:r>
      <w:r>
        <w:rPr>
          <w:i/>
          <w:iCs/>
          <w:lang w:val="id-ID"/>
        </w:rPr>
        <w:t>Al Ghazali</w:t>
      </w:r>
      <w:r>
        <w:rPr>
          <w:lang w:val="id-ID"/>
        </w:rPr>
        <w:t xml:space="preserve"> 1, no. 2 (2018): 152-167.</w:t>
      </w:r>
    </w:p>
  </w:footnote>
  <w:footnote w:id="20">
    <w:p>
      <w:pPr>
        <w:pStyle w:val="11"/>
        <w:rPr>
          <w:lang w:val="id-ID"/>
        </w:rPr>
      </w:pPr>
      <w:r>
        <w:rPr>
          <w:rStyle w:val="10"/>
        </w:rPr>
        <w:footnoteRef/>
      </w:r>
      <w:r>
        <w:t xml:space="preserve"> </w:t>
      </w:r>
      <w:r>
        <w:fldChar w:fldCharType="begin" w:fldLock="1"/>
      </w:r>
      <w:r>
        <w:instrText xml:space="preserve">ADDIN CSL_CITATION {"citationItems":[{"id":"ITEM-1","itemData":{"abstract":"Pendidikan Islam dalam skala umum memberikan proses pendewasaan individu muslim/muslimah yang hendak mencapai tujuan kehidupan yang bahagia baik di dunia maupun di akhirat kelak. Pendidikan Islam pun dalam masa kini tidak ubahnya memiliki nilai-nilai normatif dan historis yang mendasarkan sumber ajaran agama Islam. Komponen-komponen pendidikan Islam, yaitu: pengertian pendidikan Islam, dasar dan tujuan pendidikan Islam, kurikulum pendidikan Islam, metode pendidikan Islam, evaluasi pendidikan Islam dan lembaga pendidikan Islam, secara umum digagas dan dikemas yang merujuk pada nilai-nilai arajan agama Islam. Pendidikan Islam yang meliputi pengertian pendidikan Islam, dasar dan tujuan pendidikan Islam, kurikulum pendidikan Islam, metode pendidikan Islam, evaluasi pendidikan Islam dan lembaga pendidikan Islam, secara umum digagas dan dikemas yang merujuk pada nilai-nilai arajan agama Islam. Pendidikan Islam yang digagas oleh Prof. H.M Arifin memiliki perbedaan dan persamaan. Persamaan  pemikiran terletak pada pengertian pendidikan Islam, dasar dan tujuan pendidikan Islam. Sedangkan perbedaan pemikiran pada komponen pendidikan Islam, kurikulum pendidikan Islam, metode pendidikan Islam, evaluasi pendidikan Islam dan lembaga pendidikan Islam.","author":[{"dropping-particle":"","family":"Muhammad Haris","given":"","non-dropping-particle":"","parse-names":false,"suffix":""}],"container-title":"Ummul Quro","id":"ITEM-1","issue":"Jurnal Ummul Qura Vol VI, No 2, September 2015   ","issued":{"date-parts":[["2015"]]},"page":"1-19","title":"Pendidikan Islam Dalam Perspektif Prof. H.M Arifin","type":"article-journal","volume":"6"},"uris":["http://www.mendeley.com/documents/?uuid=7bc86b56-96a3-4d86-886f-79e52aaaa7eb"]}],"mendeley":{"formattedCitation":"Muhammad Haris, “Pendidikan Islam Dalam Perspektif Prof. H.M Arifin.”","plainTextFormattedCitation":"Muhammad Haris, “Pendidikan Islam Dalam Perspektif Prof. H.M Arifin.”","previouslyFormattedCitation":"Muhammad Haris, “Pendidikan Islam Dalam Perspektif Prof. H.M Arifin.”"},"properties":{"noteIndex":21},"schema":"https://github.com/citation-style-language/schema/raw/master/csl-citation.json"}</w:instrText>
      </w:r>
      <w:r>
        <w:fldChar w:fldCharType="separate"/>
      </w:r>
      <w:r>
        <w:t>Muhammad Haris, “Pendidikan Islam Dalam Perspektif Prof. H.M Arifin.”</w:t>
      </w:r>
      <w:r>
        <w:fldChar w:fldCharType="end"/>
      </w:r>
    </w:p>
  </w:footnote>
  <w:footnote w:id="21">
    <w:p>
      <w:pPr>
        <w:pStyle w:val="11"/>
        <w:rPr>
          <w:lang w:val="id-ID"/>
        </w:rPr>
      </w:pPr>
      <w:r>
        <w:rPr>
          <w:rStyle w:val="10"/>
        </w:rPr>
        <w:footnoteRef/>
      </w:r>
      <w:r>
        <w:t xml:space="preserve"> </w:t>
      </w:r>
      <w:r>
        <w:fldChar w:fldCharType="begin" w:fldLock="1"/>
      </w:r>
      <w:r>
        <w:instrText xml:space="preserve">ADDIN CSL_CITATION {"citationItems":[{"id":"ITEM-1","itemData":{"abstract":"Pendidikan Islam dalam skala umum memberikan proses pendewasaan individu muslim/muslimah yang hendak mencapai tujuan kehidupan yang bahagia baik di dunia maupun di akhirat kelak. Pendidikan Islam pun dalam masa kini tidak ubahnya memiliki nilai-nilai normatif dan historis yang mendasarkan sumber ajaran agama Islam. Komponen-komponen pendidikan Islam, yaitu: pengertian pendidikan Islam, dasar dan tujuan pendidikan Islam, kurikulum pendidikan Islam, metode pendidikan Islam, evaluasi pendidikan Islam dan lembaga pendidikan Islam, secara umum digagas dan dikemas yang merujuk pada nilai-nilai arajan agama Islam. Pendidikan Islam yang meliputi pengertian pendidikan Islam, dasar dan tujuan pendidikan Islam, kurikulum pendidikan Islam, metode pendidikan Islam, evaluasi pendidikan Islam dan lembaga pendidikan Islam, secara umum digagas dan dikemas yang merujuk pada nilai-nilai arajan agama Islam. Pendidikan Islam yang digagas oleh Prof. H.M Arifin memiliki perbedaan dan persamaan. Persamaan  pemikiran terletak pada pengertian pendidikan Islam, dasar dan tujuan pendidikan Islam. Sedangkan perbedaan pemikiran pada komponen pendidikan Islam, kurikulum pendidikan Islam, metode pendidikan Islam, evaluasi pendidikan Islam dan lembaga pendidikan Islam.","author":[{"dropping-particle":"","family":"Muhammad Haris","given":"","non-dropping-particle":"","parse-names":false,"suffix":""}],"container-title":"Ummul Quro","id":"ITEM-1","issue":"Jurnal Ummul Qura Vol VI, No 2, September 2015   ","issued":{"date-parts":[["2015"]]},"page":"1-19","title":"Pendidikan Islam Dalam Perspektif Prof. H.M Arifin","type":"article-journal","volume":"6"},"uris":["http://www.mendeley.com/documents/?uuid=7bc86b56-96a3-4d86-886f-79e52aaaa7eb"]}],"mendeley":{"formattedCitation":"Ibid.","plainTextFormattedCitation":"Ibid.","previouslyFormattedCitation":"Ibid."},"properties":{"noteIndex":22},"schema":"https://github.com/citation-style-language/schema/raw/master/csl-citation.json"}</w:instrText>
      </w:r>
      <w:r>
        <w:fldChar w:fldCharType="separate"/>
      </w:r>
      <w:r>
        <w:t>Ibid.</w:t>
      </w:r>
      <w:r>
        <w:fldChar w:fldCharType="end"/>
      </w:r>
    </w:p>
  </w:footnote>
  <w:footnote w:id="22">
    <w:p>
      <w:pPr>
        <w:pStyle w:val="11"/>
        <w:rPr>
          <w:lang w:val="id-ID"/>
        </w:rPr>
      </w:pPr>
      <w:r>
        <w:rPr>
          <w:rStyle w:val="10"/>
        </w:rPr>
        <w:footnoteRef/>
      </w:r>
      <w:r>
        <w:t xml:space="preserve"> </w:t>
      </w:r>
      <w:r>
        <w:fldChar w:fldCharType="begin" w:fldLock="1"/>
      </w:r>
      <w:r>
        <w:instrText xml:space="preserve">ADDIN CSL_CITATION {"citationItems":[{"id":"ITEM-1","itemData":{"abstract":"Pendidikan Islam dalam skala umum memberikan proses pendewasaan individu muslim/muslimah yang hendak mencapai tujuan kehidupan yang bahagia baik di dunia maupun di akhirat kelak. Pendidikan Islam pun dalam masa kini tidak ubahnya memiliki nilai-nilai normatif dan historis yang mendasarkan sumber ajaran agama Islam. Komponen-komponen pendidikan Islam, yaitu: pengertian pendidikan Islam, dasar dan tujuan pendidikan Islam, kurikulum pendidikan Islam, metode pendidikan Islam, evaluasi pendidikan Islam dan lembaga pendidikan Islam, secara umum digagas dan dikemas yang merujuk pada nilai-nilai arajan agama Islam. Pendidikan Islam yang meliputi pengertian pendidikan Islam, dasar dan tujuan pendidikan Islam, kurikulum pendidikan Islam, metode pendidikan Islam, evaluasi pendidikan Islam dan lembaga pendidikan Islam, secara umum digagas dan dikemas yang merujuk pada nilai-nilai arajan agama Islam. Pendidikan Islam yang digagas oleh Prof. H.M Arifin memiliki perbedaan dan persamaan. Persamaan  pemikiran terletak pada pengertian pendidikan Islam, dasar dan tujuan pendidikan Islam. Sedangkan perbedaan pemikiran pada komponen pendidikan Islam, kurikulum pendidikan Islam, metode pendidikan Islam, evaluasi pendidikan Islam dan lembaga pendidikan Islam.","author":[{"dropping-particle":"","family":"Muhammad Haris","given":"","non-dropping-particle":"","parse-names":false,"suffix":""}],"container-title":"Ummul Quro","id":"ITEM-1","issue":"Jurnal Ummul Qura Vol VI, No 2, September 2015   ","issued":{"date-parts":[["2015"]]},"page":"1-19","title":"Pendidikan Islam Dalam Perspektif Prof. H.M Arifin","type":"article-journal","volume":"6"},"uris":["http://www.mendeley.com/documents/?uuid=7bc86b56-96a3-4d86-886f-79e52aaaa7eb"]}],"mendeley":{"formattedCitation":"Ibid.","plainTextFormattedCitation":"Ibid.","previouslyFormattedCitation":"Ibid."},"properties":{"noteIndex":23},"schema":"https://github.com/citation-style-language/schema/raw/master/csl-citation.json"}</w:instrText>
      </w:r>
      <w:r>
        <w:fldChar w:fldCharType="separate"/>
      </w:r>
      <w:r>
        <w:t>Ibid.</w:t>
      </w:r>
      <w:r>
        <w:fldChar w:fldCharType="end"/>
      </w:r>
    </w:p>
  </w:footnote>
  <w:footnote w:id="23">
    <w:p>
      <w:pPr>
        <w:pStyle w:val="11"/>
        <w:rPr>
          <w:lang w:val="id-ID"/>
        </w:rPr>
      </w:pPr>
      <w:r>
        <w:rPr>
          <w:rStyle w:val="10"/>
        </w:rPr>
        <w:footnoteRef/>
      </w:r>
      <w:r>
        <w:t xml:space="preserve"> </w:t>
      </w:r>
      <w:r>
        <w:fldChar w:fldCharType="begin" w:fldLock="1"/>
      </w:r>
      <w:r>
        <w:instrText xml:space="preserve">ADDIN CSL_CITATION {"citationItems":[{"id":"ITEM-1","itemData":{"abstract":"Pendidikan Islam dalam skala umum memberikan proses pendewasaan individu muslim/muslimah yang hendak mencapai tujuan kehidupan yang bahagia baik di dunia maupun di akhirat kelak. Pendidikan Islam pun dalam masa kini tidak ubahnya memiliki nilai-nilai normatif dan historis yang mendasarkan sumber ajaran agama Islam. Komponen-komponen pendidikan Islam, yaitu: pengertian pendidikan Islam, dasar dan tujuan pendidikan Islam, kurikulum pendidikan Islam, metode pendidikan Islam, evaluasi pendidikan Islam dan lembaga pendidikan Islam, secara umum digagas dan dikemas yang merujuk pada nilai-nilai arajan agama Islam. Pendidikan Islam yang meliputi pengertian pendidikan Islam, dasar dan tujuan pendidikan Islam, kurikulum pendidikan Islam, metode pendidikan Islam, evaluasi pendidikan Islam dan lembaga pendidikan Islam, secara umum digagas dan dikemas yang merujuk pada nilai-nilai arajan agama Islam. Pendidikan Islam yang digagas oleh Prof. H.M Arifin memiliki perbedaan dan persamaan. Persamaan  pemikiran terletak pada pengertian pendidikan Islam, dasar dan tujuan pendidikan Islam. Sedangkan perbedaan pemikiran pada komponen pendidikan Islam, kurikulum pendidikan Islam, metode pendidikan Islam, evaluasi pendidikan Islam dan lembaga pendidikan Islam.","author":[{"dropping-particle":"","family":"Muhammad Haris","given":"","non-dropping-particle":"","parse-names":false,"suffix":""}],"container-title":"Ummul Quro","id":"ITEM-1","issue":"Jurnal Ummul Qura Vol VI, No 2, September 2015   ","issued":{"date-parts":[["2015"]]},"page":"1-19","title":"Pendidikan Islam Dalam Perspektif Prof. H.M Arifin","type":"article-journal","volume":"6"},"uris":["http://www.mendeley.com/documents/?uuid=7bc86b56-96a3-4d86-886f-79e52aaaa7eb"]}],"mendeley":{"formattedCitation":"Ibid.","plainTextFormattedCitation":"Ibid.","previouslyFormattedCitation":"Ibid."},"properties":{"noteIndex":24},"schema":"https://github.com/citation-style-language/schema/raw/master/csl-citation.json"}</w:instrText>
      </w:r>
      <w:r>
        <w:fldChar w:fldCharType="separate"/>
      </w:r>
      <w:r>
        <w:t>Ibid.</w:t>
      </w:r>
      <w:r>
        <w:fldChar w:fldCharType="end"/>
      </w:r>
    </w:p>
  </w:footnote>
  <w:footnote w:id="24">
    <w:p>
      <w:pPr>
        <w:pStyle w:val="11"/>
        <w:rPr>
          <w:lang w:val="id-ID"/>
        </w:rPr>
      </w:pPr>
      <w:r>
        <w:rPr>
          <w:rStyle w:val="10"/>
        </w:rPr>
        <w:footnoteRef/>
      </w:r>
      <w:r>
        <w:t xml:space="preserve"> </w:t>
      </w:r>
      <w:r>
        <w:fldChar w:fldCharType="begin" w:fldLock="1"/>
      </w:r>
      <w:r>
        <w:instrText xml:space="preserve">ADDIN CSL_CITATION {"citationItems":[{"id":"ITEM-1","itemData":{"abstract":"There are three basic components of human inborn. These components are body or bodies, spirit, and mind. One of them is the body, developed in accordance with sunatullah means if humans consume food nutrition enough he will tumbun and grow like plants and other creatures. While the spirit and sense evolved to explore themselves through the process pendidikan.Ketiganya, is a unified whole and round and inseparable. According Jalaluddin purpose of Islamic education should be formulated from philosophical values contained in the philosophy of Islamic education. The purpose of Islamic education according to him is identical to the goal of Islam itself. According to Abdurrahman Saleh Abdullah, there are three main objectives of Islamic education, that \"the purpose of physical (ahdaf al-jismiyyah), spiritual cause (ahdaf a Therefore, the education mempunyal-ruhiyyah), and objectives of mental (ahdaf al-'aqliyyah)\".","author":[{"dropping-particle":"","family":"Pendidikan","given":"Dosen","non-dropping-particle":"","parse-names":false,"suffix":""},{"dropping-particle":"","family":"Islam","given":"Agama","non-dropping-particle":"","parse-names":false,"suffix":""},{"dropping-particle":"","family":"Raden","given":"Ftk Iain","non-dropping-particle":"","parse-names":false,"suffix":""},{"dropping-particle":"","family":"Lampung","given":"Intan","non-dropping-particle":"","parse-names":false,"suffix":""}],"container-title":"Jurnal Pendidikan Islam","id":"ITEM-1","issue":"November","issued":{"date-parts":[["2015"]]},"page":"151-166","title":"Tujuan Pendidikan Islam Imam Syafe'I","type":"article-journal","volume":"6"},"uris":["http://www.mendeley.com/documents/?uuid=cc475617-2408-4ec9-8da1-a00c84ba958f"]}],"mendeley":{"formattedCitation":"Pendidikan et al., “Tujuan Pendidikan Islam Imam Syafe’I.”","plainTextFormattedCitation":"Pendidikan et al., “Tujuan Pendidikan Islam Imam Syafe’I.”","previouslyFormattedCitation":"Pendidikan et al., “Tujuan Pendidikan Islam Imam Syafe’I.”"},"properties":{"noteIndex":25},"schema":"https://github.com/citation-style-language/schema/raw/master/csl-citation.json"}</w:instrText>
      </w:r>
      <w:r>
        <w:fldChar w:fldCharType="separate"/>
      </w:r>
      <w:r>
        <w:t>Pendidikan et al., “Tujuan Pendidikan Islam Imam Syafe’I.”</w:t>
      </w:r>
      <w:r>
        <w:fldChar w:fldCharType="end"/>
      </w:r>
    </w:p>
  </w:footnote>
  <w:footnote w:id="25">
    <w:p>
      <w:pPr>
        <w:pStyle w:val="11"/>
        <w:rPr>
          <w:lang w:val="id-ID"/>
        </w:rPr>
      </w:pPr>
      <w:r>
        <w:rPr>
          <w:rStyle w:val="10"/>
        </w:rPr>
        <w:footnoteRef/>
      </w:r>
      <w:r>
        <w:t xml:space="preserve"> </w:t>
      </w:r>
      <w:r>
        <w:fldChar w:fldCharType="begin" w:fldLock="1"/>
      </w:r>
      <w:r>
        <w:instrText xml:space="preserve">ADDIN CSL_CITATION {"citationItems":[{"id":"ITEM-1","itemData":{"ISBN":"9789793649726","abstract":"… Strategi utama organisasi harus disesuaikan, sumber daya manusia harus ditingkatkan kemampuannya, infrastruktur yang dimiliki harus disesuaikan … Karena untuk memutus rantai penyebaran covid-19, semua orang diminta tidak bertemu secara fisik tetapi melalui media …","author":[{"dropping-particle":"","family":"Hadiono","given":"Kristophorus","non-dropping-particle":"","parse-names":false,"suffix":""},{"dropping-particle":"","family":"Noor Santi","given":"Rina Candra","non-dropping-particle":"","parse-names":false,"suffix":""}],"container-title":"Proceeding Sendiu","id":"ITEM-1","issue":"July","issued":{"date-parts":[["2020"]]},"page":"978-979","title":"Menyongsong Transformasi Digital","type":"article-journal"},"uris":["http://www.mendeley.com/documents/?uuid=1ea00fb8-766b-4e70-914f-62fdbac0cb9f"]}],"mendeley":{"formattedCitation":"Hadiono and Noor Santi, “Menyongsong Transformasi Digital.”","plainTextFormattedCitation":"Hadiono and Noor Santi, “Menyongsong Transformasi Digital.”","previouslyFormattedCitation":"Hadiono and Noor Santi, “Menyongsong Transformasi Digital.”"},"properties":{"noteIndex":26},"schema":"https://github.com/citation-style-language/schema/raw/master/csl-citation.json"}</w:instrText>
      </w:r>
      <w:r>
        <w:fldChar w:fldCharType="separate"/>
      </w:r>
      <w:r>
        <w:t>Hadiono and Noor Santi, “Menyongsong Transformasi Digital.”</w:t>
      </w:r>
      <w:r>
        <w:fldChar w:fldCharType="end"/>
      </w:r>
    </w:p>
  </w:footnote>
  <w:footnote w:id="26">
    <w:p>
      <w:pPr>
        <w:pStyle w:val="11"/>
        <w:rPr>
          <w:lang w:val="id-ID"/>
        </w:rPr>
      </w:pPr>
      <w:r>
        <w:rPr>
          <w:rStyle w:val="10"/>
        </w:rPr>
        <w:footnoteRef/>
      </w:r>
      <w:r>
        <w:t xml:space="preserve"> </w:t>
      </w:r>
      <w:r>
        <w:fldChar w:fldCharType="begin" w:fldLock="1"/>
      </w:r>
      <w:r>
        <w:instrText xml:space="preserve">ADDIN CSL_CITATION {"citationItems":[{"id":"ITEM-1","itemData":{"ISBN":"9789793649726","abstract":"… Strategi utama organisasi harus disesuaikan, sumber daya manusia harus ditingkatkan kemampuannya, infrastruktur yang dimiliki harus disesuaikan … Karena untuk memutus rantai penyebaran covid-19, semua orang diminta tidak bertemu secara fisik tetapi melalui media …","author":[{"dropping-particle":"","family":"Hadiono","given":"Kristophorus","non-dropping-particle":"","parse-names":false,"suffix":""},{"dropping-particle":"","family":"Noor Santi","given":"Rina Candra","non-dropping-particle":"","parse-names":false,"suffix":""}],"container-title":"Proceeding Sendiu","id":"ITEM-1","issue":"July","issued":{"date-parts":[["2020"]]},"page":"978-979","title":"Menyongsong Transformasi Digital","type":"article-journal"},"uris":["http://www.mendeley.com/documents/?uuid=1ea00fb8-766b-4e70-914f-62fdbac0cb9f"]}],"mendeley":{"formattedCitation":"Ibid.","plainTextFormattedCitation":"Ibid.","previouslyFormattedCitation":"Ibid."},"properties":{"noteIndex":27},"schema":"https://github.com/citation-style-language/schema/raw/master/csl-citation.json"}</w:instrText>
      </w:r>
      <w:r>
        <w:fldChar w:fldCharType="separate"/>
      </w:r>
      <w:r>
        <w:t>Ibid.</w:t>
      </w:r>
      <w:r>
        <w:fldChar w:fldCharType="end"/>
      </w:r>
    </w:p>
  </w:footnote>
  <w:footnote w:id="27">
    <w:p>
      <w:pPr>
        <w:pStyle w:val="11"/>
        <w:rPr>
          <w:lang w:val="id-ID"/>
        </w:rPr>
      </w:pPr>
      <w:r>
        <w:rPr>
          <w:rStyle w:val="10"/>
        </w:rPr>
        <w:footnoteRef/>
      </w:r>
      <w:r>
        <w:t xml:space="preserve"> </w:t>
      </w:r>
      <w:r>
        <w:fldChar w:fldCharType="begin" w:fldLock="1"/>
      </w:r>
      <w:r>
        <w:instrText xml:space="preserve">ADDIN CSL_CITATION {"citationItems":[{"id":"ITEM-1","itemData":{"DOI":"10.46781/al-mutharahah.v17i2.138","ISSN":"2088-0871","abstract":"The Covid-19 pandemic has caused major changes in almost all aspects of life, one of which is the education system. Changes in the education system make it difficult for students to receive the material, especially students at the Elementary School and Kindergarten levels, because learning that is usually done conventionally turns into distance-learning or done online, the implementation of which cannot be separated from the use of technology information. This journal aims to examine the role of technology in the implementation of learning during the Covid-19 pandemic, besides that it also examines the challenges of education during the Covid-19 pandemic using descriptive-analytical literature methods. The results and conclusions in this paper show that technology has an important role in the implementation of learning, especially during the Covid-19 pandemic like today. Technology plays a role as a medium in making interactions between educators and students in the implementation of online learning. In addition, technology also plays a role in facilitating educators to deliver learning material so that learning continues even though it is not done face to face. In the implementation of online learning, of course, there are obstacles that become challenges for educations actors, related to academic culture, including values, attitudes, knowledge, skills, and readiness of technology-related facilities and infrastructure. The implementation of literacy and training related to the use of technology can be a solution to facing some of the challenges of online learning during the current Covid-19 pandemic.","author":[{"dropping-particle":"","family":"Hanifah Salsabila","given":"Unik","non-dropping-particle":"","parse-names":false,"suffix":""},{"dropping-particle":"","family":"Irna Sari","given":"Lailli","non-dropping-particle":"","parse-names":false,"suffix":""},{"dropping-particle":"","family":"Haibati Lathif","given":"Khusna","non-dropping-particle":"","parse-names":false,"suffix":""},{"dropping-particle":"","family":"Puji Lestari","given":"Ayu","non-dropping-particle":"","parse-names":false,"suffix":""},{"dropping-particle":"","family":"Ayuning","given":"Asyharinur","non-dropping-particle":"","parse-names":false,"suffix":""}],"container-title":"Al-Mutharahah: Jurnal Penelitian dan Kajian Sosial Keagamaan","id":"ITEM-1","issue":"2","issued":{"date-parts":[["2020"]]},"page":"188-198","title":"Peran Teknologi Dalam Pembelajaran Di Masa Pandemi Covid-19","type":"article-journal","volume":"17"},"uris":["http://www.mendeley.com/documents/?uuid=5ac596d3-972d-4a7e-a685-51a263af3c2d"]}],"mendeley":{"formattedCitation":"Unik Hanifah Salsabila et al., “Peran Teknologi Dalam Pembelajaran Di Masa Pandemi Covid-19,” &lt;i&gt;Al-Mutharahah: Jurnal Penelitian Dan Kajian Sosial Keagamaan&lt;/i&gt; 17, no. 2 (2020): 188–98, doi:10.46781/al-mutharahah.v17i2.138.","plainTextFormattedCitation":"Unik Hanifah Salsabila et al., “Peran Teknologi Dalam Pembelajaran Di Masa Pandemi Covid-19,” Al-Mutharahah: Jurnal Penelitian Dan Kajian Sosial Keagamaan 17, no. 2 (2020): 188–98, doi:10.46781/al-mutharahah.v17i2.138.","previouslyFormattedCitation":"Unik Hanifah Salsabila et al., “Peran Teknologi Dalam Pembelajaran Di Masa Pandemi Covid-19,” &lt;i&gt;Al-Mutharahah: Jurnal Penelitian Dan Kajian Sosial Keagamaan&lt;/i&gt; 17, no. 2 (2020): 188–98, doi:10.46781/al-mutharahah.v17i2.138."},"properties":{"noteIndex":28},"schema":"https://github.com/citation-style-language/schema/raw/master/csl-citation.json"}</w:instrText>
      </w:r>
      <w:r>
        <w:fldChar w:fldCharType="separate"/>
      </w:r>
      <w:r>
        <w:t xml:space="preserve">Unik Hanifah Salsabila et al., “Peran Teknologi Dalam Pembelajaran Di Masa Pandemi Covid-19,” </w:t>
      </w:r>
      <w:r>
        <w:rPr>
          <w:i/>
        </w:rPr>
        <w:t>Al-Mutharahah: Jurnal Penelitian Dan Kajian Sosial Keagamaan</w:t>
      </w:r>
      <w:r>
        <w:t xml:space="preserve"> 17, no. 2 (2020): 188–98, doi:10.46781/al-mutharahah.v17i2.138.</w:t>
      </w:r>
      <w:r>
        <w:fldChar w:fldCharType="end"/>
      </w:r>
    </w:p>
  </w:footnote>
  <w:footnote w:id="28">
    <w:p>
      <w:pPr>
        <w:pStyle w:val="11"/>
        <w:rPr>
          <w:lang w:val="id-ID"/>
        </w:rPr>
      </w:pPr>
      <w:r>
        <w:rPr>
          <w:rStyle w:val="10"/>
        </w:rPr>
        <w:footnoteRef/>
      </w:r>
      <w:r>
        <w:t xml:space="preserve"> </w:t>
      </w:r>
      <w:r>
        <w:fldChar w:fldCharType="begin" w:fldLock="1"/>
      </w:r>
      <w:r>
        <w:instrText xml:space="preserve">ADDIN CSL_CITATION {"citationItems":[{"id":"ITEM-1","itemData":{"DOI":"10.35508/jicon.v9i2.4319","ISSN":"2337-7631","abstract":"Pada era sekarang tentunya teknologi telah berkembang dengan sangat pesat, dimana pengguna smartphone maupun laptop meningkat dengan sangat pesat, tentunya dengan bantuan alat tersebut kita dapat menyelesaikan berbagai pekerjaan dan juga untuk belajar. Penelitian ini dilakukan dengan studi literatur dengan data yang dikumpulkan dari beberapa sumber yang berkaitan dengan topik dan dengan dilakukan penelitian ini kita bisa mengetahui seberapa efektif penggunaan dari LMS. Pada masa pandemi saat ini pembelajaran dilakukan dengan metode pembelajaran jarak jauh dengan banyak metode, salah satunya yaitu Learning Management System (LMS). Banyak hal yang harus diperhatikan dalam proses Pembelajaran Jarak Jauh (PJJ) antara lain pemanfaatan teknologi informasi maupun model pembelajaran yang diberikan. Dengan pemanfaatan model pembelajaran LMS ini, proses pembelajaran jauh dapat berlangsung dengan efektif.","author":[{"dropping-particle":"","family":"Anugerah","given":"Restu Pranansha","non-dropping-particle":"","parse-names":false,"suffix":""},{"dropping-particle":"","family":"Kusuma","given":"Wahyu Andhyka","non-dropping-particle":"","parse-names":false,"suffix":""}],"container-title":"Jurnal Komputer dan Informatika","id":"ITEM-1","issue":"2","issued":{"date-parts":[["2021"]]},"page":"127-132","title":"Keefektivitasan Penggunaan Platform LMS Dalam Pelaksanaan Pembelajaran Jarak Jauh","type":"article-journal","volume":"9"},"uris":["http://www.mendeley.com/documents/?uuid=9ea2fc8f-086e-494d-88ef-ff8016ca8d88"]}],"mendeley":{"formattedCitation":"Restu Pranansha Anugerah and Wahyu Andhyka Kusuma, “Keefektivitasan Penggunaan Platform LMS Dalam Pelaksanaan Pembelajaran Jarak Jauh,” &lt;i&gt;Jurnal Komputer Dan Informatika&lt;/i&gt; 9, no. 2 (2021): 127–32, doi:10.35508/jicon.v9i2.4319.","plainTextFormattedCitation":"Restu Pranansha Anugerah and Wahyu Andhyka Kusuma, “Keefektivitasan Penggunaan Platform LMS Dalam Pelaksanaan Pembelajaran Jarak Jauh,” Jurnal Komputer Dan Informatika 9, no. 2 (2021): 127–32, doi:10.35508/jicon.v9i2.4319.","previouslyFormattedCitation":"Restu Pranansha Anugerah and Wahyu Andhyka Kusuma, “Keefektivitasan Penggunaan Platform LMS Dalam Pelaksanaan Pembelajaran Jarak Jauh,” &lt;i&gt;Jurnal Komputer Dan Informatika&lt;/i&gt; 9, no. 2 (2021): 127–32, doi:10.35508/jicon.v9i2.4319."},"properties":{"noteIndex":29},"schema":"https://github.com/citation-style-language/schema/raw/master/csl-citation.json"}</w:instrText>
      </w:r>
      <w:r>
        <w:fldChar w:fldCharType="separate"/>
      </w:r>
      <w:r>
        <w:t xml:space="preserve">Restu Pranansha Anugerah and Wahyu Andhyka Kusuma, “Keefektivitasan Penggunaan Platform LMS Dalam Pelaksanaan Pembelajaran Jarak Jauh,” </w:t>
      </w:r>
      <w:r>
        <w:rPr>
          <w:i/>
        </w:rPr>
        <w:t>Jurnal Komputer Dan Informatika</w:t>
      </w:r>
      <w:r>
        <w:t xml:space="preserve"> 9, no. 2 (2021): 127–32, doi:10.35508/jicon.v9i2.4319.</w:t>
      </w:r>
      <w:r>
        <w:fldChar w:fldCharType="end"/>
      </w:r>
    </w:p>
  </w:footnote>
  <w:footnote w:id="29">
    <w:p>
      <w:pPr>
        <w:pStyle w:val="11"/>
        <w:rPr>
          <w:lang w:val="id-ID"/>
        </w:rPr>
      </w:pPr>
      <w:r>
        <w:rPr>
          <w:rStyle w:val="10"/>
        </w:rPr>
        <w:footnoteRef/>
      </w:r>
      <w:r>
        <w:t xml:space="preserve"> </w:t>
      </w:r>
      <w:r>
        <w:fldChar w:fldCharType="begin" w:fldLock="1"/>
      </w:r>
      <w:r>
        <w:instrText xml:space="preserve">ADDIN CSL_CITATION {"citationItems":[{"id":"ITEM-1","itemData":{"DOI":"10.46781/al-mutharahah.v17i2.138","ISSN":"2088-0871","abstract":"The Covid-19 pandemic has caused major changes in almost all aspects of life, one of which is the education system. Changes in the education system make it difficult for students to receive the material, especially students at the Elementary School and Kindergarten levels, because learning that is usually done conventionally turns into distance-learning or done online, the implementation of which cannot be separated from the use of technology information. This journal aims to examine the role of technology in the implementation of learning during the Covid-19 pandemic, besides that it also examines the challenges of education during the Covid-19 pandemic using descriptive-analytical literature methods. The results and conclusions in this paper show that technology has an important role in the implementation of learning, especially during the Covid-19 pandemic like today. Technology plays a role as a medium in making interactions between educators and students in the implementation of online learning. In addition, technology also plays a role in facilitating educators to deliver learning material so that learning continues even though it is not done face to face. In the implementation of online learning, of course, there are obstacles that become challenges for educations actors, related to academic culture, including values, attitudes, knowledge, skills, and readiness of technology-related facilities and infrastructure. The implementation of literacy and training related to the use of technology can be a solution to facing some of the challenges of online learning during the current Covid-19 pandemic.","author":[{"dropping-particle":"","family":"Hanifah Salsabila","given":"Unik","non-dropping-particle":"","parse-names":false,"suffix":""},{"dropping-particle":"","family":"Irna Sari","given":"Lailli","non-dropping-particle":"","parse-names":false,"suffix":""},{"dropping-particle":"","family":"Haibati Lathif","given":"Khusna","non-dropping-particle":"","parse-names":false,"suffix":""},{"dropping-particle":"","family":"Puji Lestari","given":"Ayu","non-dropping-particle":"","parse-names":false,"suffix":""},{"dropping-particle":"","family":"Ayuning","given":"Asyharinur","non-dropping-particle":"","parse-names":false,"suffix":""}],"container-title":"Al-Mutharahah: Jurnal Penelitian dan Kajian Sosial Keagamaan","id":"ITEM-1","issue":"2","issued":{"date-parts":[["2020"]]},"page":"188-198","title":"Peran Teknologi Dalam Pembelajaran Di Masa Pandemi Covid-19","type":"article-journal","volume":"17"},"uris":["http://www.mendeley.com/documents/?uuid=5ac596d3-972d-4a7e-a685-51a263af3c2d"]}],"mendeley":{"formattedCitation":"Hanifah Salsabila et al., “Peran Teknologi Dalam Pembelajaran Di Masa Pandemi Covid-19.”","plainTextFormattedCitation":"Hanifah Salsabila et al., “Peran Teknologi Dalam Pembelajaran Di Masa Pandemi Covid-19.”","previouslyFormattedCitation":"Hanifah Salsabila et al., “Peran Teknologi Dalam Pembelajaran Di Masa Pandemi Covid-19.”"},"properties":{"noteIndex":30},"schema":"https://github.com/citation-style-language/schema/raw/master/csl-citation.json"}</w:instrText>
      </w:r>
      <w:r>
        <w:fldChar w:fldCharType="separate"/>
      </w:r>
      <w:r>
        <w:t>Hanifah Salsabila et al., “Peran Teknologi Dalam Pembelajaran Di Masa Pandemi Covid-19.”</w:t>
      </w:r>
      <w:r>
        <w:fldChar w:fldCharType="end"/>
      </w:r>
    </w:p>
  </w:footnote>
  <w:footnote w:id="30">
    <w:p>
      <w:pPr>
        <w:pStyle w:val="11"/>
        <w:rPr>
          <w:lang w:val="id-ID"/>
        </w:rPr>
      </w:pPr>
      <w:r>
        <w:rPr>
          <w:rStyle w:val="10"/>
        </w:rPr>
        <w:footnoteRef/>
      </w:r>
      <w:r>
        <w:t xml:space="preserve"> </w:t>
      </w:r>
      <w:r>
        <w:fldChar w:fldCharType="begin" w:fldLock="1"/>
      </w:r>
      <w:r>
        <w:instrText xml:space="preserve">ADDIN CSL_CITATION {"citationItems":[{"id":"ITEM-1","itemData":{"DOI":"10.46781/al-mutharahah.v17i2.138","ISSN":"2088-0871","abstract":"The Covid-19 pandemic has caused major changes in almost all aspects of life, one of which is the education system. Changes in the education system make it difficult for students to receive the material, especially students at the Elementary School and Kindergarten levels, because learning that is usually done conventionally turns into distance-learning or done online, the implementation of which cannot be separated from the use of technology information. This journal aims to examine the role of technology in the implementation of learning during the Covid-19 pandemic, besides that it also examines the challenges of education during the Covid-19 pandemic using descriptive-analytical literature methods. The results and conclusions in this paper show that technology has an important role in the implementation of learning, especially during the Covid-19 pandemic like today. Technology plays a role as a medium in making interactions between educators and students in the implementation of online learning. In addition, technology also plays a role in facilitating educators to deliver learning material so that learning continues even though it is not done face to face. In the implementation of online learning, of course, there are obstacles that become challenges for educations actors, related to academic culture, including values, attitudes, knowledge, skills, and readiness of technology-related facilities and infrastructure. The implementation of literacy and training related to the use of technology can be a solution to facing some of the challenges of online learning during the current Covid-19 pandemic.","author":[{"dropping-particle":"","family":"Hanifah Salsabila","given":"Unik","non-dropping-particle":"","parse-names":false,"suffix":""},{"dropping-particle":"","family":"Irna Sari","given":"Lailli","non-dropping-particle":"","parse-names":false,"suffix":""},{"dropping-particle":"","family":"Haibati Lathif","given":"Khusna","non-dropping-particle":"","parse-names":false,"suffix":""},{"dropping-particle":"","family":"Puji Lestari","given":"Ayu","non-dropping-particle":"","parse-names":false,"suffix":""},{"dropping-particle":"","family":"Ayuning","given":"Asyharinur","non-dropping-particle":"","parse-names":false,"suffix":""}],"container-title":"Al-Mutharahah: Jurnal Penelitian dan Kajian Sosial Keagamaan","id":"ITEM-1","issue":"2","issued":{"date-parts":[["2020"]]},"page":"188-198","title":"Peran Teknologi Dalam Pembelajaran Di Masa Pandemi Covid-19","type":"article-journal","volume":"17"},"uris":["http://www.mendeley.com/documents/?uuid=5ac596d3-972d-4a7e-a685-51a263af3c2d"]}],"mendeley":{"formattedCitation":"Ibid.","plainTextFormattedCitation":"Ibid.","previouslyFormattedCitation":"Ibid."},"properties":{"noteIndex":31},"schema":"https://github.com/citation-style-language/schema/raw/master/csl-citation.json"}</w:instrText>
      </w:r>
      <w:r>
        <w:fldChar w:fldCharType="separate"/>
      </w:r>
      <w:r>
        <w:t>Ibid.</w:t>
      </w:r>
      <w:r>
        <w:fldChar w:fldCharType="end"/>
      </w:r>
    </w:p>
  </w:footnote>
  <w:footnote w:id="31">
    <w:p>
      <w:pPr>
        <w:pStyle w:val="11"/>
        <w:rPr>
          <w:lang w:val="id-ID"/>
        </w:rPr>
      </w:pPr>
      <w:r>
        <w:rPr>
          <w:rStyle w:val="10"/>
        </w:rPr>
        <w:footnoteRef/>
      </w:r>
      <w:r>
        <w:t xml:space="preserve"> </w:t>
      </w:r>
      <w:r>
        <w:fldChar w:fldCharType="begin" w:fldLock="1"/>
      </w:r>
      <w:r>
        <w:instrText xml:space="preserve">ADDIN CSL_CITATION {"citationItems":[{"id":"ITEM-1","itemData":{"DOI":"10.31004/obsesi.v4i2.404","ISSN":"2356-1327","abstract":"Penelitian  ini bertujuan untuk mengetahui pengaruh media pembelajaran digital animasi dan kepercayaan diri terhadap hasil belajar Pendidikan Agama Islam. Populasi dalam penelitian ini adalah siswa kelas 2 SD di kota Medan dengan sampel  32 anak dalam kelompok eksperimen dan 32 anak dalam kelompok kontrol. Sampel diambil dengan teknik cluster sampling. Data dikumpulkan melalui tes  yang  telah divalidasi. Teknik analisis data menggunakan  uji varians (ANAVA) dua jalur serta pengujian tukey. Sebelum uji hipotesis dilakukan terlebih dahulu dilakukan uji normalitas dan uji homogenitas. Hasil analisis data  menunjukkan bahwa terdapat interaksi media pembelajaran digital dan kepercayaan diri terhadap hasil belajar Pendidikan Agama Islam dengan hasil analisis varians  nilai F hitung = 4,97 &gt; F tabel = 3,99 pada taraf signifikan = 0,05.","author":[{"dropping-particle":"","family":"Panjaitan","given":"Nur Qomariah","non-dropping-particle":"","parse-names":false,"suffix":""},{"dropping-particle":"","family":"Yetti","given":"Elindra","non-dropping-particle":"","parse-names":false,"suffix":""},{"dropping-particle":"","family":"Nurani","given":"Yuliani","non-dropping-particle":"","parse-names":false,"suffix":""}],"container-title":"Jurnal Obsesi : Jurnal Pendidikan Anak Usia Dini","id":"ITEM-1","issue":"2","issued":{"date-parts":[["2020"]]},"page":"588","title":"Pengaruh Media Pembelajaran Digital Animasi dan Kepercayaan Diri terhadap Hasil Belajar Pendidikan Agama Islam Anak","type":"article-journal","volume":"4"},"uris":["http://www.mendeley.com/documents/?uuid=294282a1-29e1-451b-9a95-eac0624b14b2"]}],"mendeley":{"formattedCitation":"Nur Qomariah Panjaitan, Elindra Yetti, and Yuliani Nurani, “Pengaruh Media Pembelajaran Digital Animasi Dan Kepercayaan Diri Terhadap Hasil Belajar Pendidikan Agama Islam Anak,” &lt;i&gt;Jurnal Obsesi : Jurnal Pendidikan Anak Usia Dini&lt;/i&gt; 4, no. 2 (2020): 588, doi:10.31004/obsesi.v4i2.404.","plainTextFormattedCitation":"Nur Qomariah Panjaitan, Elindra Yetti, and Yuliani Nurani, “Pengaruh Media Pembelajaran Digital Animasi Dan Kepercayaan Diri Terhadap Hasil Belajar Pendidikan Agama Islam Anak,” Jurnal Obsesi : Jurnal Pendidikan Anak Usia Dini 4, no. 2 (2020): 588, doi:10.31004/obsesi.v4i2.404.","previouslyFormattedCitation":"Nur Qomariah Panjaitan, Elindra Yetti, and Yuliani Nurani, “Pengaruh Media Pembelajaran Digital Animasi Dan Kepercayaan Diri Terhadap Hasil Belajar Pendidikan Agama Islam Anak,” &lt;i&gt;Jurnal Obsesi : Jurnal Pendidikan Anak Usia Dini&lt;/i&gt; 4, no. 2 (2020): 588, doi:10.31004/obsesi.v4i2.404."},"properties":{"noteIndex":32},"schema":"https://github.com/citation-style-language/schema/raw/master/csl-citation.json"}</w:instrText>
      </w:r>
      <w:r>
        <w:fldChar w:fldCharType="separate"/>
      </w:r>
      <w:r>
        <w:t xml:space="preserve">Nur Qomariah Panjaitan, Elindra Yetti, and Yuliani Nurani, “Pengaruh Media Pembelajaran Digital Animasi Dan Kepercayaan Diri Terhadap Hasil Belajar Pendidikan Agama Islam Anak,” </w:t>
      </w:r>
      <w:r>
        <w:rPr>
          <w:i/>
        </w:rPr>
        <w:t>Jurnal Obsesi : Jurnal Pendidikan Anak Usia Dini</w:t>
      </w:r>
      <w:r>
        <w:t xml:space="preserve"> 4, no. 2 (2020): 588, doi:10.31004/obsesi.v4i2.404.</w:t>
      </w:r>
      <w:r>
        <w:fldChar w:fldCharType="end"/>
      </w:r>
    </w:p>
  </w:footnote>
  <w:footnote w:id="32">
    <w:p>
      <w:pPr>
        <w:pStyle w:val="11"/>
        <w:rPr>
          <w:lang w:val="id-ID"/>
        </w:rPr>
      </w:pPr>
      <w:r>
        <w:rPr>
          <w:rStyle w:val="10"/>
        </w:rPr>
        <w:footnoteRef/>
      </w:r>
      <w:r>
        <w:t xml:space="preserve"> </w:t>
      </w:r>
      <w:r>
        <w:fldChar w:fldCharType="begin" w:fldLock="1"/>
      </w:r>
      <w:r>
        <w:instrText xml:space="preserve">ADDIN CSL_CITATION {"citationItems":[{"id":"ITEM-1","itemData":{"author":[{"dropping-particle":"","family":"Kusumaningrum","given":"Hening","non-dropping-particle":"","parse-names":false,"suffix":""},{"dropping-particle":"","family":"Salsabila","given":"Unik Hanifah","non-dropping-particle":"","parse-names":false,"suffix":""},{"dropping-particle":"","family":"Rahmanti","given":"Nanik","non-dropping-particle":"","parse-names":false,"suffix":""},{"dropping-particle":"","family":"Kasanah","given":"Istiani Nur","non-dropping-particle":"","parse-names":false,"suffix":""},{"dropping-particle":"","family":"Kurniawan","given":"Dian Sidik","non-dropping-particle":"","parse-names":false,"suffix":""}],"container-title":"SALIHA : Jurnal Pendidikan Agama Islam","id":"ITEM-1","issued":{"date-parts":[["2022"]]},"page":"92-114","title":"Optimalisasi Media Youtube Sebagai Media Pembelajaran Daring","type":"article-journal","volume":"5"},"uris":["http://www.mendeley.com/documents/?uuid=46f0b0c6-c310-4aee-b7aa-e4efdc4af7b4"]}],"mendeley":{"formattedCitation":"Kusumaningrum et al., “Optimalisasi Media Youtube Sebagai Media Pembelajaran Daring.”","plainTextFormattedCitation":"Kusumaningrum et al., “Optimalisasi Media Youtube Sebagai Media Pembelajaran Daring.”"},"properties":{"noteIndex":33},"schema":"https://github.com/citation-style-language/schema/raw/master/csl-citation.json"}</w:instrText>
      </w:r>
      <w:r>
        <w:fldChar w:fldCharType="separate"/>
      </w:r>
      <w:r>
        <w:t>Kusumaningrum et al., “Optimalisasi Media Youtube Sebagai Media Pembelajaran Daring.”</w:t>
      </w:r>
      <w:r>
        <w:fldChar w:fldCharType="end"/>
      </w:r>
    </w:p>
  </w:footnote>
  <w:footnote w:id="33">
    <w:p>
      <w:pPr>
        <w:pStyle w:val="11"/>
        <w:rPr>
          <w:lang w:val="id-ID"/>
        </w:rPr>
      </w:pPr>
      <w:r>
        <w:rPr>
          <w:rStyle w:val="10"/>
        </w:rPr>
        <w:footnoteRef/>
      </w:r>
      <w:r>
        <w:t xml:space="preserve"> </w:t>
      </w:r>
      <w:r>
        <w:rPr>
          <w:lang w:val="id-ID"/>
        </w:rPr>
        <w:t>Alimuddin, Johar. “Optimalisasi Pembelajaran Daring Pada Masa Pandemi Covid-19 di MI Al Maahdy Sindangsari Majenang.</w:t>
      </w:r>
    </w:p>
  </w:footnote>
  <w:footnote w:id="34">
    <w:p>
      <w:pPr>
        <w:pStyle w:val="11"/>
        <w:rPr>
          <w:lang w:val="id-ID"/>
        </w:rPr>
      </w:pPr>
      <w:r>
        <w:rPr>
          <w:rStyle w:val="10"/>
        </w:rPr>
        <w:footnoteRef/>
      </w:r>
      <w:r>
        <w:t xml:space="preserve"> </w:t>
      </w:r>
      <w:r>
        <w:rPr>
          <w:lang w:val="id-ID"/>
        </w:rPr>
        <w:t>Habibi, Ibnu. “Implementasi Pembelajaran Pendidikan Agama Islam Berbasis Daring (</w:t>
      </w:r>
      <w:r>
        <w:rPr>
          <w:i/>
          <w:iCs/>
          <w:lang w:val="id-ID"/>
        </w:rPr>
        <w:t>whatsapp Group, Google Classroom  dan Zoom Meeting</w:t>
      </w:r>
      <w:r>
        <w:rPr>
          <w:lang w:val="id-ID"/>
        </w:rPr>
        <w:t>) di SMP Al Amin Bojonegoro.</w:t>
      </w:r>
    </w:p>
  </w:footnote>
  <w:footnote w:id="35">
    <w:p>
      <w:pPr>
        <w:pStyle w:val="11"/>
        <w:rPr>
          <w:lang w:val="id-ID"/>
        </w:rPr>
      </w:pPr>
      <w:r>
        <w:rPr>
          <w:rStyle w:val="10"/>
        </w:rPr>
        <w:footnoteRef/>
      </w:r>
      <w:r>
        <w:t xml:space="preserve"> </w:t>
      </w:r>
      <w:r>
        <w:rPr>
          <w:lang w:val="id-ID"/>
        </w:rPr>
        <w:t>Alimuddin, Johar. “Optimalisasi Pembelajaran Daring Pada Masa Pandemi Covid-19 di MI Al Maahdy Sindangsari Majenang.</w:t>
      </w:r>
    </w:p>
  </w:footnote>
  <w:footnote w:id="36">
    <w:p>
      <w:pPr>
        <w:pStyle w:val="11"/>
        <w:rPr>
          <w:lang w:val="id-ID"/>
        </w:rPr>
      </w:pPr>
      <w:r>
        <w:rPr>
          <w:rStyle w:val="10"/>
        </w:rPr>
        <w:footnoteRef/>
      </w:r>
      <w:r>
        <w:t xml:space="preserve"> </w:t>
      </w:r>
      <w:r>
        <w:rPr>
          <w:lang w:val="id-ID"/>
        </w:rPr>
        <w:t>Habibi, Ibnu. “Implementasi Pembelajaran Pendidikan Agama Islam Berbasis Daring (</w:t>
      </w:r>
      <w:r>
        <w:rPr>
          <w:i/>
          <w:iCs/>
          <w:lang w:val="id-ID"/>
        </w:rPr>
        <w:t>whatsapp Group, Google Classroom  dan Zoom Meeting</w:t>
      </w:r>
      <w:r>
        <w:rPr>
          <w:lang w:val="id-ID"/>
        </w:rPr>
        <w:t>) di SMP Al Amin Bojonegoro.</w:t>
      </w:r>
    </w:p>
  </w:footnote>
  <w:footnote w:id="37">
    <w:p>
      <w:pPr>
        <w:pStyle w:val="11"/>
        <w:rPr>
          <w:lang w:val="id-ID"/>
        </w:rPr>
      </w:pPr>
      <w:r>
        <w:rPr>
          <w:rStyle w:val="10"/>
        </w:rPr>
        <w:footnoteRef/>
      </w:r>
      <w:r>
        <w:t xml:space="preserve"> </w:t>
      </w:r>
      <w:r>
        <w:rPr>
          <w:lang w:val="id-ID"/>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single" w:color="D9D9D9" w:sz="4" w:space="1"/>
        <w:right w:val="none" w:color="auto" w:sz="0" w:space="0"/>
        <w:between w:val="none" w:color="auto" w:sz="0" w:space="0"/>
      </w:pBdr>
      <w:tabs>
        <w:tab w:val="center" w:pos="4513"/>
        <w:tab w:val="right" w:pos="9026"/>
      </w:tabs>
      <w:jc w:val="right"/>
      <w:rPr>
        <w:b/>
        <w:color w:val="000000"/>
      </w:rPr>
    </w:pPr>
    <w:r>
      <w:rPr>
        <w:color w:val="000000"/>
      </w:rPr>
      <w:fldChar w:fldCharType="begin"/>
    </w:r>
    <w:r>
      <w:rPr>
        <w:color w:val="000000"/>
      </w:rPr>
      <w:instrText xml:space="preserve">PAGE</w:instrText>
    </w:r>
    <w:r>
      <w:rPr>
        <w:color w:val="000000"/>
      </w:rPr>
      <w:fldChar w:fldCharType="separate"/>
    </w:r>
    <w:r>
      <w:rPr>
        <w:color w:val="000000"/>
      </w:rPr>
      <w:t>15</w:t>
    </w:r>
    <w:r>
      <w:rPr>
        <w:color w:val="000000"/>
      </w:rPr>
      <w:fldChar w:fldCharType="end"/>
    </w:r>
    <w:r>
      <w:rPr>
        <w:b/>
        <w:color w:val="000000"/>
      </w:rPr>
      <w:t xml:space="preserve"> | </w:t>
    </w:r>
    <w:r>
      <w:rPr>
        <w:i/>
        <w:color w:val="FF0000"/>
        <w:sz w:val="16"/>
        <w:szCs w:val="16"/>
      </w:rPr>
      <w:t>Penulis</w:t>
    </w:r>
    <w:r>
      <w:rPr>
        <w:i/>
        <w:color w:val="000000"/>
        <w:sz w:val="16"/>
        <w:szCs w:val="16"/>
      </w:rPr>
      <w:t xml:space="preserve">/ IQRO: Journal of Islamic Education </w:t>
    </w:r>
    <w:r>
      <w:rPr>
        <w:i/>
        <w:color w:val="FF0000"/>
        <w:sz w:val="16"/>
        <w:szCs w:val="16"/>
      </w:rPr>
      <w:t>Vol. 1, No.1, Juli 2018.  71–84</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single" w:color="D9D9D9" w:sz="4" w:space="1"/>
        <w:right w:val="none" w:color="auto" w:sz="0" w:space="0"/>
        <w:between w:val="none" w:color="auto" w:sz="0" w:space="0"/>
      </w:pBdr>
      <w:tabs>
        <w:tab w:val="center" w:pos="4513"/>
        <w:tab w:val="right" w:pos="9026"/>
      </w:tabs>
      <w:jc w:val="left"/>
      <w:rPr>
        <w:b/>
        <w:color w:val="000000"/>
      </w:rPr>
    </w:pPr>
    <w:r>
      <w:rPr>
        <w:color w:val="000000"/>
      </w:rPr>
      <w:fldChar w:fldCharType="begin"/>
    </w:r>
    <w:r>
      <w:rPr>
        <w:color w:val="000000"/>
      </w:rPr>
      <w:instrText xml:space="preserve">PAGE</w:instrText>
    </w:r>
    <w:r>
      <w:rPr>
        <w:color w:val="000000"/>
      </w:rPr>
      <w:fldChar w:fldCharType="separate"/>
    </w:r>
    <w:r>
      <w:rPr>
        <w:color w:val="000000"/>
      </w:rPr>
      <w:t>16</w:t>
    </w:r>
    <w:r>
      <w:rPr>
        <w:color w:val="000000"/>
      </w:rPr>
      <w:fldChar w:fldCharType="end"/>
    </w:r>
    <w:r>
      <w:rPr>
        <w:b/>
        <w:color w:val="000000"/>
      </w:rPr>
      <w:t xml:space="preserve"> | </w:t>
    </w:r>
    <w:r>
      <w:rPr>
        <w:i/>
        <w:color w:val="FF0000"/>
        <w:sz w:val="16"/>
        <w:szCs w:val="16"/>
      </w:rPr>
      <w:t>Penulis</w:t>
    </w:r>
    <w:r>
      <w:rPr>
        <w:i/>
        <w:color w:val="000000"/>
        <w:sz w:val="16"/>
        <w:szCs w:val="16"/>
      </w:rPr>
      <w:t xml:space="preserve">/ IQRO: Journal of Islamic Education </w:t>
    </w:r>
    <w:r>
      <w:rPr>
        <w:i/>
        <w:color w:val="FF0000"/>
        <w:sz w:val="16"/>
        <w:szCs w:val="16"/>
      </w:rPr>
      <w:t>Vol. 1, No.1, Juli 2018.  71–84</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rFonts w:ascii="Cambria" w:hAnsi="Cambria" w:eastAsia="Cambria" w:cs="Cambria"/>
        <w: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right"/>
      <w:rPr>
        <w:rFonts w:ascii="Cambria" w:hAnsi="Cambria" w:eastAsia="Cambria" w:cs="Cambria"/>
        <w:i/>
        <w:color w:val="404040"/>
        <w:sz w:val="18"/>
        <w:szCs w:val="18"/>
      </w:rPr>
    </w:pPr>
    <w:r>
      <w:rPr>
        <w:rFonts w:ascii="Cambria" w:hAnsi="Cambria" w:eastAsia="Cambria" w:cs="Cambria"/>
        <w:i/>
        <w:color w:val="404040"/>
        <w:sz w:val="18"/>
        <w:szCs w:val="18"/>
      </w:rPr>
      <w:t>IQRO: Journal of Islamic Education</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right"/>
      <w:rPr>
        <w:rFonts w:ascii="Cambria" w:hAnsi="Cambria" w:eastAsia="Cambria" w:cs="Cambria"/>
        <w:i/>
        <w:color w:val="404040"/>
        <w:sz w:val="18"/>
        <w:szCs w:val="18"/>
      </w:rPr>
    </w:pPr>
    <w:r>
      <w:rPr>
        <w:rFonts w:ascii="Cambria" w:hAnsi="Cambria" w:eastAsia="Cambria" w:cs="Cambria"/>
        <w:i/>
        <w:color w:val="FF0000"/>
        <w:sz w:val="18"/>
        <w:szCs w:val="18"/>
      </w:rPr>
      <w:t>Bulan-Tahun, Vol.x, No.x, hal.xx-xx</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right"/>
      <w:rPr>
        <w:rFonts w:ascii="Cambria" w:hAnsi="Cambria" w:eastAsia="Cambria" w:cs="Cambria"/>
        <w:i/>
        <w:color w:val="000000"/>
        <w:sz w:val="18"/>
        <w:szCs w:val="18"/>
      </w:rPr>
    </w:pPr>
    <w:r>
      <w:rPr>
        <w:rFonts w:ascii="Cambria" w:hAnsi="Cambria" w:eastAsia="Cambria" w:cs="Cambria"/>
        <w:i/>
        <w:color w:val="000000"/>
        <w:sz w:val="18"/>
        <w:szCs w:val="18"/>
      </w:rPr>
      <w:t>ISSN(P): 2622-2671; ISSN(E):</w:t>
    </w:r>
    <w:r>
      <w:rPr>
        <w:color w:val="000000"/>
      </w:rPr>
      <w:t xml:space="preserve"> </w:t>
    </w:r>
    <w:r>
      <w:rPr>
        <w:rFonts w:ascii="Cambria" w:hAnsi="Cambria" w:eastAsia="Cambria" w:cs="Cambria"/>
        <w:i/>
        <w:color w:val="000000"/>
        <w:sz w:val="18"/>
        <w:szCs w:val="18"/>
      </w:rPr>
      <w:t>2622-3201</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right"/>
      <w:rPr>
        <w:rFonts w:ascii="Cambria" w:hAnsi="Cambria" w:eastAsia="Cambria" w:cs="Cambria"/>
        <w:i/>
        <w:color w:val="404040"/>
        <w:sz w:val="18"/>
        <w:szCs w:val="18"/>
      </w:rPr>
    </w:pPr>
    <w:r>
      <w:rPr>
        <w:rFonts w:ascii="Cambria" w:hAnsi="Cambria" w:eastAsia="Cambria" w:cs="Cambria"/>
        <w:i/>
        <w:color w:val="404040"/>
        <w:sz w:val="18"/>
        <w:szCs w:val="18"/>
      </w:rPr>
      <w:t xml:space="preserve">©2018 Pendidikan Agama Islam  IAIN Palopo. </w:t>
    </w:r>
    <w:r>
      <w:rPr>
        <w:rFonts w:ascii="Cambria" w:hAnsi="Cambria" w:eastAsia="Cambria" w:cs="Cambria"/>
        <w:i/>
        <w:color w:val="0000FF"/>
        <w:sz w:val="18"/>
        <w:szCs w:val="18"/>
        <w:u w:val="single"/>
      </w:rPr>
      <w:t>http://ejournal.iainpalopo.ac.id/index.php/iqro</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30281"/>
    <w:multiLevelType w:val="multilevel"/>
    <w:tmpl w:val="27D302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E88018D"/>
    <w:multiLevelType w:val="multilevel"/>
    <w:tmpl w:val="7E88018D"/>
    <w:lvl w:ilvl="0" w:tentative="0">
      <w:start w:val="1"/>
      <w:numFmt w:val="lowerLetter"/>
      <w:lvlText w:val="%1."/>
      <w:lvlJc w:val="left"/>
      <w:pPr>
        <w:ind w:left="1440" w:hanging="360"/>
      </w:pPr>
      <w:rPr>
        <w:u w:val="none"/>
      </w:rPr>
    </w:lvl>
    <w:lvl w:ilvl="1" w:tentative="0">
      <w:start w:val="1"/>
      <w:numFmt w:val="lowerLetter"/>
      <w:lvlText w:val="%2."/>
      <w:lvlJc w:val="left"/>
      <w:pPr>
        <w:ind w:left="2160" w:hanging="360"/>
      </w:pPr>
      <w:rPr>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evenAndOddHeaders w:val="1"/>
  <w:characterSpacingControl w:val="doNotCompress"/>
  <w:footnotePr>
    <w:footnote w:id="76"/>
    <w:footnote w:id="77"/>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5A"/>
    <w:rsid w:val="00013389"/>
    <w:rsid w:val="00052B5B"/>
    <w:rsid w:val="000A26E5"/>
    <w:rsid w:val="00107F13"/>
    <w:rsid w:val="00185B7D"/>
    <w:rsid w:val="00224776"/>
    <w:rsid w:val="00257C69"/>
    <w:rsid w:val="00260C9D"/>
    <w:rsid w:val="003437B4"/>
    <w:rsid w:val="00343E0C"/>
    <w:rsid w:val="003A09F9"/>
    <w:rsid w:val="003A4146"/>
    <w:rsid w:val="003B2488"/>
    <w:rsid w:val="004635DC"/>
    <w:rsid w:val="004970FB"/>
    <w:rsid w:val="004B7612"/>
    <w:rsid w:val="0054173D"/>
    <w:rsid w:val="005A2D34"/>
    <w:rsid w:val="00674694"/>
    <w:rsid w:val="006C1F1C"/>
    <w:rsid w:val="006D5C6A"/>
    <w:rsid w:val="007A07CC"/>
    <w:rsid w:val="007B07D1"/>
    <w:rsid w:val="007C00A4"/>
    <w:rsid w:val="00811FA2"/>
    <w:rsid w:val="008369D8"/>
    <w:rsid w:val="00862B82"/>
    <w:rsid w:val="00893207"/>
    <w:rsid w:val="008A18B7"/>
    <w:rsid w:val="008C4619"/>
    <w:rsid w:val="0090399E"/>
    <w:rsid w:val="009337D3"/>
    <w:rsid w:val="00974E5A"/>
    <w:rsid w:val="00985732"/>
    <w:rsid w:val="009A69A9"/>
    <w:rsid w:val="009D05A2"/>
    <w:rsid w:val="00C12354"/>
    <w:rsid w:val="00C45A68"/>
    <w:rsid w:val="00CD3F37"/>
    <w:rsid w:val="00D21423"/>
    <w:rsid w:val="00D4195F"/>
    <w:rsid w:val="00DD017F"/>
    <w:rsid w:val="00EB234F"/>
    <w:rsid w:val="00EB3EE3"/>
    <w:rsid w:val="00EC24DD"/>
    <w:rsid w:val="00FC7D61"/>
    <w:rsid w:val="2A6C65C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center"/>
    </w:pPr>
    <w:rPr>
      <w:rFonts w:ascii="Times New Roman" w:hAnsi="Times New Roman" w:eastAsia="Times New Roman" w:cs="Times New Roman"/>
      <w:lang w:val="id-ID" w:eastAsia="id-ID" w:bidi="ar-SA"/>
    </w:rPr>
  </w:style>
  <w:style w:type="paragraph" w:styleId="2">
    <w:name w:val="heading 1"/>
    <w:basedOn w:val="1"/>
    <w:next w:val="1"/>
    <w:uiPriority w:val="0"/>
    <w:pPr>
      <w:keepNext/>
      <w:keepLines/>
      <w:tabs>
        <w:tab w:val="left" w:pos="216"/>
      </w:tabs>
      <w:spacing w:before="160" w:after="80"/>
      <w:ind w:firstLine="216"/>
      <w:outlineLvl w:val="0"/>
    </w:pPr>
    <w:rPr>
      <w:smallCaps/>
    </w:rPr>
  </w:style>
  <w:style w:type="paragraph" w:styleId="3">
    <w:name w:val="heading 2"/>
    <w:basedOn w:val="1"/>
    <w:next w:val="1"/>
    <w:uiPriority w:val="0"/>
    <w:pPr>
      <w:keepNext/>
      <w:keepLines/>
      <w:spacing w:before="120" w:after="60"/>
      <w:ind w:left="288" w:hanging="288"/>
      <w:jc w:val="left"/>
      <w:outlineLvl w:val="1"/>
    </w:pPr>
    <w:rPr>
      <w:i/>
    </w:rPr>
  </w:style>
  <w:style w:type="paragraph" w:styleId="4">
    <w:name w:val="heading 3"/>
    <w:basedOn w:val="1"/>
    <w:next w:val="1"/>
    <w:uiPriority w:val="0"/>
    <w:pPr>
      <w:ind w:firstLine="180"/>
      <w:jc w:val="both"/>
      <w:outlineLvl w:val="2"/>
    </w:pPr>
    <w:rPr>
      <w:i/>
    </w:rPr>
  </w:style>
  <w:style w:type="paragraph" w:styleId="5">
    <w:name w:val="heading 4"/>
    <w:basedOn w:val="1"/>
    <w:next w:val="1"/>
    <w:qFormat/>
    <w:uiPriority w:val="0"/>
    <w:pPr>
      <w:spacing w:before="40" w:after="40"/>
      <w:ind w:firstLine="360"/>
      <w:jc w:val="both"/>
      <w:outlineLvl w:val="3"/>
    </w:pPr>
    <w:rPr>
      <w:i/>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basedOn w:val="8"/>
    <w:semiHidden/>
    <w:unhideWhenUsed/>
    <w:uiPriority w:val="99"/>
    <w:rPr>
      <w:vertAlign w:val="superscript"/>
    </w:rPr>
  </w:style>
  <w:style w:type="paragraph" w:styleId="11">
    <w:name w:val="footnote text"/>
    <w:basedOn w:val="1"/>
    <w:link w:val="16"/>
    <w:semiHidden/>
    <w:unhideWhenUsed/>
    <w:uiPriority w:val="99"/>
    <w:pPr>
      <w:jc w:val="left"/>
    </w:pPr>
    <w:rPr>
      <w:rFonts w:ascii="Cambria" w:hAnsi="Cambria" w:eastAsia="Cambria" w:cs="Cambria"/>
      <w:lang w:val="zh-CN" w:eastAsia="en-US"/>
    </w:rPr>
  </w:style>
  <w:style w:type="character" w:styleId="12">
    <w:name w:val="Hyperlink"/>
    <w:basedOn w:val="8"/>
    <w:unhideWhenUsed/>
    <w:uiPriority w:val="99"/>
    <w:rPr>
      <w:color w:val="0000FF" w:themeColor="hyperlink"/>
      <w:u w:val="single"/>
      <w14:textFill>
        <w14:solidFill>
          <w14:schemeClr w14:val="hlink"/>
        </w14:solidFill>
      </w14:textFill>
    </w:rPr>
  </w:style>
  <w:style w:type="paragraph" w:styleId="13">
    <w:name w:val="Subtitle"/>
    <w:basedOn w:val="1"/>
    <w:next w:val="1"/>
    <w:link w:val="17"/>
    <w:uiPriority w:val="0"/>
    <w:rPr>
      <w:rFonts w:ascii="Cambria" w:hAnsi="Cambria" w:eastAsia="Cambria" w:cs="Cambria"/>
      <w:i/>
      <w:color w:val="4F81BD"/>
      <w:sz w:val="24"/>
      <w:szCs w:val="24"/>
    </w:rPr>
  </w:style>
  <w:style w:type="paragraph" w:styleId="14">
    <w:name w:val="Title"/>
    <w:basedOn w:val="1"/>
    <w:next w:val="1"/>
    <w:uiPriority w:val="0"/>
    <w:pPr>
      <w:pBdr>
        <w:bottom w:val="single" w:color="4F81BD" w:sz="8" w:space="4"/>
      </w:pBdr>
      <w:spacing w:after="300"/>
    </w:pPr>
    <w:rPr>
      <w:rFonts w:ascii="Cambria" w:hAnsi="Cambria" w:eastAsia="Cambria" w:cs="Cambria"/>
      <w:color w:val="17365D"/>
      <w:sz w:val="52"/>
      <w:szCs w:val="52"/>
    </w:rPr>
  </w:style>
  <w:style w:type="table" w:customStyle="1" w:styleId="15">
    <w:name w:val="_Style 11"/>
    <w:basedOn w:val="9"/>
    <w:uiPriority w:val="0"/>
  </w:style>
  <w:style w:type="character" w:customStyle="1" w:styleId="16">
    <w:name w:val="Footnote Text Char"/>
    <w:basedOn w:val="8"/>
    <w:link w:val="11"/>
    <w:semiHidden/>
    <w:uiPriority w:val="99"/>
    <w:rPr>
      <w:rFonts w:ascii="Cambria" w:hAnsi="Cambria" w:eastAsia="Cambria" w:cs="Cambria"/>
      <w:lang w:val="zh-CN" w:eastAsia="en-US"/>
    </w:rPr>
  </w:style>
  <w:style w:type="character" w:customStyle="1" w:styleId="17">
    <w:name w:val="Subtitle Char"/>
    <w:basedOn w:val="8"/>
    <w:link w:val="13"/>
    <w:uiPriority w:val="0"/>
    <w:rPr>
      <w:rFonts w:ascii="Cambria" w:hAnsi="Cambria" w:eastAsia="Cambria" w:cs="Cambria"/>
      <w:i/>
      <w:color w:val="4F81BD"/>
      <w:sz w:val="24"/>
      <w:szCs w:val="24"/>
    </w:rPr>
  </w:style>
  <w:style w:type="paragraph" w:styleId="18">
    <w:name w:val="List Paragraph"/>
    <w:basedOn w:val="1"/>
    <w:qFormat/>
    <w:uiPriority w:val="34"/>
    <w:pPr>
      <w:ind w:left="720"/>
      <w:contextualSpacing/>
    </w:pPr>
  </w:style>
  <w:style w:type="character" w:customStyle="1" w:styleId="19">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Placeholder2</b:Tag>
    <b:SourceType>ArticleInAPeriodical</b:SourceType>
    <b:Guid>{9689171B-505E-4461-B7F9-304D56D9857B}</b:Guid>
    <b:RefOrder>2</b:RefOrder>
  </b:Source>
  <b:Source>
    <b:Tag>Placeholder3</b:Tag>
    <b:SourceType>JournalArticle</b:SourceType>
    <b:Guid>{3367EBDD-AF76-467A-95FD-F3409FB7F825}</b:Guid>
    <b:RefOrder>3</b:RefOrder>
  </b:Source>
  <b:Source>
    <b:Tag>Placeholder4</b:Tag>
    <b:SourceType>Book</b:SourceType>
    <b:Guid>{D1020D42-6A35-4339-8524-7ABAB4B48BED}</b:Guid>
    <b:RefOrder>1</b:RefOrder>
  </b:Source>
</b:Sources>
</file>

<file path=customXml/itemProps1.xml><?xml version="1.0" encoding="utf-8"?>
<ds:datastoreItem xmlns:ds="http://schemas.openxmlformats.org/officeDocument/2006/customXml" ds:itemID="{3F094355-C727-4D6E-9538-C50E27E436CC}">
  <ds:schemaRefs/>
</ds:datastoreItem>
</file>

<file path=docProps/app.xml><?xml version="1.0" encoding="utf-8"?>
<Properties xmlns="http://schemas.openxmlformats.org/officeDocument/2006/extended-properties" xmlns:vt="http://schemas.openxmlformats.org/officeDocument/2006/docPropsVTypes">
  <Template>Normal</Template>
  <Pages>19</Pages>
  <Words>4883</Words>
  <Characters>27839</Characters>
  <Lines>231</Lines>
  <Paragraphs>65</Paragraphs>
  <TotalTime>193</TotalTime>
  <ScaleCrop>false</ScaleCrop>
  <LinksUpToDate>false</LinksUpToDate>
  <CharactersWithSpaces>32657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2022-12-28T23:49:00Z</dcterms:created>
  <dc:creator>Windows-7</dc:creator>
  <cp:lastModifiedBy>Akhi Agency</cp:lastModifiedBy>
  <dcterms:modified xsi:type="dcterms:W3CDTF">2023-01-12T00:58:55Z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http://www.zotero.org/styles/chicago-fullnote-bibliography-16th-edition</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http://www.zotero.org/styles/chicago-fullnote-bibliography-16th-edition</vt:lpwstr>
  </property>
  <property fmtid="{D5CDD505-2E9C-101B-9397-08002B2CF9AE}" pid="23" name="Mendeley Document_1">
    <vt:lpwstr>True</vt:lpwstr>
  </property>
  <property fmtid="{D5CDD505-2E9C-101B-9397-08002B2CF9AE}" pid="24" name="Mendeley Unique User Id_1">
    <vt:lpwstr>97d726a5-ce4c-3433-8a06-c066fbbe17e7</vt:lpwstr>
  </property>
  <property fmtid="{D5CDD505-2E9C-101B-9397-08002B2CF9AE}" pid="25" name="KSOProductBuildVer">
    <vt:lpwstr>1057-11.2.0.11440</vt:lpwstr>
  </property>
  <property fmtid="{D5CDD505-2E9C-101B-9397-08002B2CF9AE}" pid="26" name="ICV">
    <vt:lpwstr>36267EAA76754AE796D4B019DF8AED24</vt:lpwstr>
  </property>
</Properties>
</file>