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72E9" w14:textId="4C776FF4" w:rsidR="003B7893" w:rsidRPr="007E42E9" w:rsidRDefault="003B7893" w:rsidP="00D53751">
      <w:pPr>
        <w:spacing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7E42E9">
        <w:rPr>
          <w:rFonts w:ascii="Book Antiqua" w:eastAsia="Yu Gothic" w:hAnsi="Book Antiqua"/>
          <w:b/>
          <w:sz w:val="24"/>
          <w:szCs w:val="24"/>
        </w:rPr>
        <w:t xml:space="preserve">PANDANGAN </w:t>
      </w:r>
      <w:r w:rsidR="007E42E9" w:rsidRPr="007E42E9">
        <w:rPr>
          <w:rFonts w:ascii="Book Antiqua" w:hAnsi="Book Antiqua"/>
          <w:b/>
          <w:sz w:val="24"/>
          <w:szCs w:val="24"/>
        </w:rPr>
        <w:t>MAJELIS DAN SHIGHAT DALAM AKAD DAN RELEVANSINYA DENGAN DINAMIKA EKONOMI KONTEMPORER</w:t>
      </w:r>
    </w:p>
    <w:p w14:paraId="12826F20" w14:textId="6DFE16B2" w:rsidR="003B7893" w:rsidRPr="007E42E9" w:rsidRDefault="003B7893" w:rsidP="00D53751">
      <w:pPr>
        <w:spacing w:line="240" w:lineRule="auto"/>
        <w:ind w:right="49"/>
        <w:jc w:val="center"/>
        <w:rPr>
          <w:rFonts w:ascii="Book Antiqua" w:eastAsia="Yu Gothic" w:hAnsi="Book Antiqua" w:cs="Book Antiqua"/>
          <w:b/>
          <w:color w:val="404040"/>
          <w:sz w:val="24"/>
          <w:szCs w:val="24"/>
          <w:vertAlign w:val="superscript"/>
        </w:rPr>
      </w:pPr>
      <w:proofErr w:type="spellStart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Firman</w:t>
      </w:r>
      <w:proofErr w:type="spellEnd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 xml:space="preserve"> Nizar </w:t>
      </w:r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  <w:vertAlign w:val="superscript"/>
        </w:rPr>
        <w:t>1</w:t>
      </w:r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 xml:space="preserve">, Nita </w:t>
      </w:r>
      <w:proofErr w:type="spellStart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Triana</w:t>
      </w:r>
      <w:proofErr w:type="spellEnd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 xml:space="preserve"> </w:t>
      </w:r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  <w:vertAlign w:val="superscript"/>
        </w:rPr>
        <w:t>2</w:t>
      </w:r>
    </w:p>
    <w:p w14:paraId="7C926FAA" w14:textId="26897C62" w:rsidR="003B7893" w:rsidRPr="007E42E9" w:rsidRDefault="003B7893" w:rsidP="00D53751">
      <w:pPr>
        <w:spacing w:line="240" w:lineRule="auto"/>
        <w:ind w:right="49"/>
        <w:jc w:val="center"/>
        <w:rPr>
          <w:rFonts w:ascii="Book Antiqua" w:eastAsia="Yu Gothic" w:hAnsi="Book Antiqua" w:cs="Book Antiqua"/>
          <w:b/>
          <w:color w:val="404040"/>
          <w:sz w:val="24"/>
          <w:szCs w:val="24"/>
        </w:rPr>
      </w:pPr>
      <w:proofErr w:type="spellStart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Pascasarjana</w:t>
      </w:r>
      <w:proofErr w:type="spellEnd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 xml:space="preserve">. Hukum </w:t>
      </w:r>
      <w:proofErr w:type="spellStart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Ekonomi</w:t>
      </w:r>
      <w:proofErr w:type="spellEnd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 xml:space="preserve"> Syariah. Universitas Islam Negeri </w:t>
      </w:r>
      <w:proofErr w:type="spellStart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Prof.K.</w:t>
      </w:r>
      <w:proofErr w:type="gramStart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H.Saifuddin</w:t>
      </w:r>
      <w:proofErr w:type="spellEnd"/>
      <w:proofErr w:type="gramEnd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 xml:space="preserve"> </w:t>
      </w:r>
      <w:proofErr w:type="spellStart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Zuhri</w:t>
      </w:r>
      <w:proofErr w:type="spellEnd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 xml:space="preserve"> </w:t>
      </w:r>
      <w:proofErr w:type="spellStart"/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Purwokerto</w:t>
      </w:r>
      <w:proofErr w:type="spellEnd"/>
    </w:p>
    <w:p w14:paraId="18D2D894" w14:textId="77777777" w:rsidR="003B7893" w:rsidRPr="007E42E9" w:rsidRDefault="003B7893" w:rsidP="00D53751">
      <w:pPr>
        <w:spacing w:line="240" w:lineRule="auto"/>
        <w:ind w:right="49"/>
        <w:jc w:val="center"/>
        <w:rPr>
          <w:rFonts w:ascii="Book Antiqua" w:eastAsia="Yu Gothic" w:hAnsi="Book Antiqua" w:cs="Book Antiqua"/>
          <w:b/>
          <w:color w:val="404040"/>
          <w:sz w:val="24"/>
          <w:szCs w:val="24"/>
        </w:rPr>
      </w:pPr>
    </w:p>
    <w:p w14:paraId="6BCB5724" w14:textId="77777777" w:rsidR="003B7893" w:rsidRPr="007E42E9" w:rsidRDefault="003B7893" w:rsidP="00D53751">
      <w:pPr>
        <w:spacing w:after="0" w:line="240" w:lineRule="auto"/>
        <w:ind w:right="49"/>
        <w:jc w:val="center"/>
        <w:rPr>
          <w:rFonts w:ascii="Book Antiqua" w:eastAsia="Yu Gothic" w:hAnsi="Book Antiqua" w:cs="Book Antiqua"/>
          <w:b/>
          <w:color w:val="404040"/>
          <w:sz w:val="24"/>
          <w:szCs w:val="24"/>
        </w:rPr>
      </w:pPr>
      <w:r w:rsidRPr="007E42E9">
        <w:rPr>
          <w:rFonts w:ascii="Book Antiqua" w:eastAsia="Yu Gothic" w:hAnsi="Book Antiqua" w:cs="Book Antiqua"/>
          <w:b/>
          <w:color w:val="404040"/>
          <w:sz w:val="24"/>
          <w:szCs w:val="24"/>
        </w:rPr>
        <w:t>Email:</w:t>
      </w:r>
    </w:p>
    <w:p w14:paraId="4AB019EA" w14:textId="6162CE39" w:rsidR="003B7893" w:rsidRPr="007E42E9" w:rsidRDefault="003B7893" w:rsidP="00D53751">
      <w:pPr>
        <w:spacing w:after="0" w:line="240" w:lineRule="auto"/>
        <w:jc w:val="center"/>
        <w:rPr>
          <w:rFonts w:ascii="Book Antiqua" w:eastAsia="Yu Gothic" w:hAnsi="Book Antiqua"/>
          <w:sz w:val="24"/>
          <w:szCs w:val="24"/>
        </w:rPr>
      </w:pPr>
      <w:hyperlink r:id="rId7" w:history="1">
        <w:r w:rsidRPr="007E42E9">
          <w:rPr>
            <w:rStyle w:val="Hyperlink"/>
            <w:rFonts w:ascii="Book Antiqua" w:eastAsia="Yu Gothic" w:hAnsi="Book Antiqua"/>
            <w:sz w:val="24"/>
            <w:szCs w:val="24"/>
          </w:rPr>
          <w:t>firmannizar26@gmail.com</w:t>
        </w:r>
      </w:hyperlink>
    </w:p>
    <w:p w14:paraId="68574FDD" w14:textId="7F96F646" w:rsidR="003B7893" w:rsidRPr="007E42E9" w:rsidRDefault="003B7893" w:rsidP="00D53751">
      <w:pPr>
        <w:spacing w:after="0" w:line="240" w:lineRule="auto"/>
        <w:jc w:val="center"/>
        <w:rPr>
          <w:rFonts w:ascii="Book Antiqua" w:eastAsia="Yu Gothic" w:hAnsi="Book Antiqua"/>
          <w:sz w:val="24"/>
          <w:szCs w:val="24"/>
        </w:rPr>
      </w:pPr>
      <w:hyperlink r:id="rId8" w:history="1">
        <w:r w:rsidRPr="007E42E9">
          <w:rPr>
            <w:rStyle w:val="Hyperlink"/>
            <w:rFonts w:ascii="Book Antiqua" w:eastAsia="Yu Gothic" w:hAnsi="Book Antiqua"/>
            <w:sz w:val="24"/>
            <w:szCs w:val="24"/>
          </w:rPr>
          <w:t>triananita@uinsaizu.ac.id</w:t>
        </w:r>
      </w:hyperlink>
    </w:p>
    <w:p w14:paraId="5B81D298" w14:textId="15257FFC" w:rsidR="007E42E9" w:rsidRPr="007E42E9" w:rsidRDefault="007E42E9" w:rsidP="00D53751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en-ID"/>
        </w:rPr>
      </w:pPr>
    </w:p>
    <w:p w14:paraId="66898BE0" w14:textId="662ED647" w:rsidR="007E42E9" w:rsidRDefault="007E42E9" w:rsidP="00D53751">
      <w:pPr>
        <w:spacing w:line="240" w:lineRule="auto"/>
        <w:jc w:val="center"/>
        <w:rPr>
          <w:rFonts w:ascii="Book Antiqua" w:hAnsi="Book Antiqua"/>
          <w:sz w:val="24"/>
          <w:szCs w:val="24"/>
        </w:rPr>
      </w:pPr>
      <w:proofErr w:type="spellStart"/>
      <w:r w:rsidRPr="007E42E9">
        <w:rPr>
          <w:rFonts w:ascii="Book Antiqua" w:hAnsi="Book Antiqua"/>
          <w:sz w:val="24"/>
          <w:szCs w:val="24"/>
        </w:rPr>
        <w:t>Abstrak</w:t>
      </w:r>
      <w:proofErr w:type="spellEnd"/>
      <w:r w:rsidR="00AC39FE">
        <w:rPr>
          <w:rFonts w:ascii="Book Antiqua" w:hAnsi="Book Antiqua"/>
          <w:sz w:val="24"/>
          <w:szCs w:val="24"/>
        </w:rPr>
        <w:t>:</w:t>
      </w:r>
    </w:p>
    <w:p w14:paraId="384B5ACA" w14:textId="1F68D928" w:rsidR="00AC39FE" w:rsidRDefault="00AC39FE" w:rsidP="00D5375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AC39FE">
        <w:rPr>
          <w:rFonts w:ascii="Book Antiqua" w:hAnsi="Book Antiqua"/>
          <w:sz w:val="24"/>
          <w:szCs w:val="24"/>
        </w:rPr>
        <w:t>Permasalahan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</w:t>
      </w:r>
      <w:r w:rsidRPr="00AC39FE">
        <w:rPr>
          <w:rFonts w:ascii="Book Antiqua" w:hAnsi="Book Antiqua"/>
          <w:sz w:val="24"/>
          <w:szCs w:val="24"/>
        </w:rPr>
        <w:t>alam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Islam </w:t>
      </w:r>
      <w:proofErr w:type="spellStart"/>
      <w:r w:rsidRPr="00AC39FE">
        <w:rPr>
          <w:rFonts w:ascii="Book Antiqua" w:hAnsi="Book Antiqua"/>
          <w:sz w:val="24"/>
          <w:szCs w:val="24"/>
        </w:rPr>
        <w:t>kegiatan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ekonomi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erat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kaitannya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dengan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akad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C39FE">
        <w:rPr>
          <w:rFonts w:ascii="Book Antiqua" w:hAnsi="Book Antiqua"/>
          <w:sz w:val="24"/>
          <w:szCs w:val="24"/>
        </w:rPr>
        <w:t>Ijab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C39FE">
        <w:rPr>
          <w:rFonts w:ascii="Book Antiqua" w:hAnsi="Book Antiqua"/>
          <w:sz w:val="24"/>
          <w:szCs w:val="24"/>
        </w:rPr>
        <w:t>kabul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merupakan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esensi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dari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akad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C39FE">
        <w:rPr>
          <w:rFonts w:ascii="Book Antiqua" w:hAnsi="Book Antiqua"/>
          <w:sz w:val="24"/>
          <w:szCs w:val="24"/>
        </w:rPr>
        <w:t>yaitu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kehendak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penawaran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pelaku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ijab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C39FE">
        <w:rPr>
          <w:rFonts w:ascii="Book Antiqua" w:hAnsi="Book Antiqua"/>
          <w:sz w:val="24"/>
          <w:szCs w:val="24"/>
        </w:rPr>
        <w:t>kehendak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penerima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kabul</w:t>
      </w:r>
      <w:proofErr w:type="spellEnd"/>
      <w:r w:rsidRPr="00AC39FE">
        <w:rPr>
          <w:rFonts w:ascii="Book Antiqua" w:hAnsi="Book Antiqua"/>
          <w:sz w:val="24"/>
          <w:szCs w:val="24"/>
        </w:rPr>
        <w:t>.</w:t>
      </w:r>
      <w:r w:rsidRPr="00AC39FE">
        <w:rPr>
          <w:rFonts w:ascii="Book Antiqua" w:hAnsi="Book Antiqua"/>
          <w:sz w:val="24"/>
          <w:szCs w:val="24"/>
        </w:rPr>
        <w:t xml:space="preserve"> Hal </w:t>
      </w:r>
      <w:proofErr w:type="spellStart"/>
      <w:r w:rsidRPr="00AC39FE">
        <w:rPr>
          <w:rFonts w:ascii="Book Antiqua" w:hAnsi="Book Antiqua"/>
          <w:sz w:val="24"/>
          <w:szCs w:val="24"/>
        </w:rPr>
        <w:t>ini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berkaitan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AC39FE">
        <w:rPr>
          <w:rFonts w:ascii="Book Antiqua" w:hAnsi="Book Antiqua"/>
          <w:sz w:val="24"/>
          <w:szCs w:val="24"/>
        </w:rPr>
        <w:t>penelitian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C39FE">
        <w:rPr>
          <w:rFonts w:ascii="Book Antiqua" w:hAnsi="Book Antiqua"/>
          <w:sz w:val="24"/>
          <w:szCs w:val="24"/>
        </w:rPr>
        <w:t>menjelaskan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tentang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konsep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pandangan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majelis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C39FE">
        <w:rPr>
          <w:rFonts w:ascii="Book Antiqua" w:hAnsi="Book Antiqua"/>
          <w:sz w:val="24"/>
          <w:szCs w:val="24"/>
        </w:rPr>
        <w:t>sighat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dalam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akad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C39FE">
        <w:rPr>
          <w:rFonts w:ascii="Book Antiqua" w:hAnsi="Book Antiqua"/>
          <w:sz w:val="24"/>
          <w:szCs w:val="24"/>
        </w:rPr>
        <w:t>relevansinya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dengan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dinamika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ekonomi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kontemporer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. </w:t>
      </w:r>
      <w:r w:rsidRPr="00AC39FE">
        <w:rPr>
          <w:rFonts w:ascii="Book Antiqua" w:hAnsi="Book Antiqua"/>
          <w:sz w:val="24"/>
          <w:szCs w:val="24"/>
        </w:rPr>
        <w:t xml:space="preserve">Hasil </w:t>
      </w:r>
      <w:proofErr w:type="spellStart"/>
      <w:r w:rsidRPr="00AC39FE">
        <w:rPr>
          <w:rFonts w:ascii="Book Antiqua" w:hAnsi="Book Antiqua"/>
          <w:sz w:val="24"/>
          <w:szCs w:val="24"/>
        </w:rPr>
        <w:t>penelitian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ini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menunjukkan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bahwa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majelis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C39FE">
        <w:rPr>
          <w:rFonts w:ascii="Book Antiqua" w:hAnsi="Book Antiqua"/>
          <w:sz w:val="24"/>
          <w:szCs w:val="24"/>
        </w:rPr>
        <w:t>sighat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dalam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akad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memiliki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beberapa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arti </w:t>
      </w:r>
      <w:proofErr w:type="spellStart"/>
      <w:r w:rsidRPr="00AC39FE">
        <w:rPr>
          <w:rFonts w:ascii="Book Antiqua" w:hAnsi="Book Antiqua"/>
          <w:sz w:val="24"/>
          <w:szCs w:val="24"/>
        </w:rPr>
        <w:t>menurut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pandangan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ulama </w:t>
      </w:r>
      <w:proofErr w:type="spellStart"/>
      <w:r w:rsidRPr="00AC39FE">
        <w:rPr>
          <w:rFonts w:ascii="Book Antiqua" w:hAnsi="Book Antiqua"/>
          <w:sz w:val="24"/>
          <w:szCs w:val="24"/>
        </w:rPr>
        <w:t>empat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madzhab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C39FE">
        <w:rPr>
          <w:rFonts w:ascii="Book Antiqua" w:hAnsi="Book Antiqua"/>
          <w:sz w:val="24"/>
          <w:szCs w:val="24"/>
        </w:rPr>
        <w:t>sebagian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berpendapat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bahwa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ittihad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al-majlis </w:t>
      </w:r>
      <w:proofErr w:type="spellStart"/>
      <w:r w:rsidRPr="00AC39FE">
        <w:rPr>
          <w:rFonts w:ascii="Book Antiqua" w:hAnsi="Book Antiqua"/>
          <w:sz w:val="24"/>
          <w:szCs w:val="24"/>
        </w:rPr>
        <w:t>tidak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harus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bersatu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dalam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satu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tempat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C39FE">
        <w:rPr>
          <w:rFonts w:ascii="Book Antiqua" w:hAnsi="Book Antiqua"/>
          <w:sz w:val="24"/>
          <w:szCs w:val="24"/>
        </w:rPr>
        <w:t>melainkan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ijab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C39FE">
        <w:rPr>
          <w:rFonts w:ascii="Book Antiqua" w:hAnsi="Book Antiqua"/>
          <w:sz w:val="24"/>
          <w:szCs w:val="24"/>
        </w:rPr>
        <w:t>kabulnya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lah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C39FE">
        <w:rPr>
          <w:rFonts w:ascii="Book Antiqua" w:hAnsi="Book Antiqua"/>
          <w:sz w:val="24"/>
          <w:szCs w:val="24"/>
        </w:rPr>
        <w:t>berada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dalam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satu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tempat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C39FE">
        <w:rPr>
          <w:rFonts w:ascii="Book Antiqua" w:hAnsi="Book Antiqua"/>
          <w:sz w:val="24"/>
          <w:szCs w:val="24"/>
        </w:rPr>
        <w:t>artinya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orang yang </w:t>
      </w:r>
      <w:proofErr w:type="spellStart"/>
      <w:r w:rsidRPr="00AC39FE">
        <w:rPr>
          <w:rFonts w:ascii="Book Antiqua" w:hAnsi="Book Antiqua"/>
          <w:sz w:val="24"/>
          <w:szCs w:val="24"/>
        </w:rPr>
        <w:t>akan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melakukan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ijab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C39FE">
        <w:rPr>
          <w:rFonts w:ascii="Book Antiqua" w:hAnsi="Book Antiqua"/>
          <w:sz w:val="24"/>
          <w:szCs w:val="24"/>
        </w:rPr>
        <w:t>kabul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tidak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harus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berada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Pr="00AC39FE">
        <w:rPr>
          <w:rFonts w:ascii="Book Antiqua" w:hAnsi="Book Antiqua"/>
          <w:sz w:val="24"/>
          <w:szCs w:val="24"/>
        </w:rPr>
        <w:t>satu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tempat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begitu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AC39FE">
        <w:rPr>
          <w:rFonts w:ascii="Book Antiqua" w:hAnsi="Book Antiqua"/>
          <w:sz w:val="24"/>
          <w:szCs w:val="24"/>
        </w:rPr>
        <w:t>dengan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saksi-saksinya</w:t>
      </w:r>
      <w:proofErr w:type="spellEnd"/>
      <w:r w:rsidRPr="00AC39FE">
        <w:rPr>
          <w:rFonts w:ascii="Book Antiqua" w:hAnsi="Book Antiqua"/>
          <w:sz w:val="24"/>
          <w:szCs w:val="24"/>
        </w:rPr>
        <w:t>.</w:t>
      </w:r>
    </w:p>
    <w:p w14:paraId="145F99E5" w14:textId="329F9FD0" w:rsidR="00AC39FE" w:rsidRDefault="00AC39FE" w:rsidP="00D5375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0C2BC31" w14:textId="67B54242" w:rsidR="00AC39FE" w:rsidRPr="00D53751" w:rsidRDefault="00AC39FE" w:rsidP="00D53751">
      <w:pPr>
        <w:spacing w:after="0" w:line="240" w:lineRule="auto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D53751">
        <w:rPr>
          <w:rFonts w:ascii="Book Antiqua" w:hAnsi="Book Antiqua"/>
          <w:b/>
          <w:bCs/>
          <w:i/>
          <w:iCs/>
          <w:sz w:val="24"/>
          <w:szCs w:val="24"/>
        </w:rPr>
        <w:t xml:space="preserve">Kata </w:t>
      </w:r>
      <w:proofErr w:type="spellStart"/>
      <w:r w:rsidRPr="00D53751">
        <w:rPr>
          <w:rFonts w:ascii="Book Antiqua" w:hAnsi="Book Antiqua"/>
          <w:b/>
          <w:bCs/>
          <w:i/>
          <w:iCs/>
          <w:sz w:val="24"/>
          <w:szCs w:val="24"/>
        </w:rPr>
        <w:t>Kunci</w:t>
      </w:r>
      <w:proofErr w:type="spellEnd"/>
      <w:r w:rsidRPr="00D53751">
        <w:rPr>
          <w:rFonts w:ascii="Book Antiqua" w:hAnsi="Book Antiqua"/>
          <w:b/>
          <w:bCs/>
          <w:i/>
          <w:iCs/>
          <w:sz w:val="24"/>
          <w:szCs w:val="24"/>
        </w:rPr>
        <w:t xml:space="preserve">: </w:t>
      </w:r>
      <w:proofErr w:type="spellStart"/>
      <w:r w:rsidRPr="00D53751">
        <w:rPr>
          <w:rFonts w:ascii="Book Antiqua" w:hAnsi="Book Antiqua"/>
          <w:b/>
          <w:bCs/>
          <w:i/>
          <w:iCs/>
          <w:sz w:val="24"/>
          <w:szCs w:val="24"/>
        </w:rPr>
        <w:t>Majelis</w:t>
      </w:r>
      <w:proofErr w:type="spellEnd"/>
      <w:r w:rsidRPr="00D53751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r w:rsidR="00D8706B" w:rsidRPr="00D53751">
        <w:rPr>
          <w:rFonts w:ascii="Book Antiqua" w:hAnsi="Book Antiqua"/>
          <w:b/>
          <w:bCs/>
          <w:i/>
          <w:iCs/>
          <w:sz w:val="24"/>
          <w:szCs w:val="24"/>
        </w:rPr>
        <w:t xml:space="preserve">Dan </w:t>
      </w:r>
      <w:proofErr w:type="spellStart"/>
      <w:r w:rsidR="00D8706B" w:rsidRPr="00D53751">
        <w:rPr>
          <w:rFonts w:ascii="Book Antiqua" w:hAnsi="Book Antiqua"/>
          <w:b/>
          <w:bCs/>
          <w:i/>
          <w:iCs/>
          <w:sz w:val="24"/>
          <w:szCs w:val="24"/>
        </w:rPr>
        <w:t>Sighat</w:t>
      </w:r>
      <w:proofErr w:type="spellEnd"/>
      <w:r w:rsidR="00D8706B" w:rsidRPr="00D53751">
        <w:rPr>
          <w:rFonts w:ascii="Book Antiqua" w:hAnsi="Book Antiqua"/>
          <w:b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="00D8706B" w:rsidRPr="00D53751">
        <w:rPr>
          <w:rFonts w:ascii="Book Antiqua" w:hAnsi="Book Antiqua"/>
          <w:b/>
          <w:bCs/>
          <w:i/>
          <w:iCs/>
          <w:sz w:val="24"/>
          <w:szCs w:val="24"/>
        </w:rPr>
        <w:t>Akad,Ekonomi</w:t>
      </w:r>
      <w:proofErr w:type="spellEnd"/>
      <w:proofErr w:type="gramEnd"/>
      <w:r w:rsidR="00D8706B" w:rsidRPr="00D53751"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  <w:proofErr w:type="spellStart"/>
      <w:r w:rsidR="00D8706B" w:rsidRPr="00D53751">
        <w:rPr>
          <w:rFonts w:ascii="Book Antiqua" w:hAnsi="Book Antiqua"/>
          <w:b/>
          <w:bCs/>
          <w:i/>
          <w:iCs/>
          <w:sz w:val="24"/>
          <w:szCs w:val="24"/>
        </w:rPr>
        <w:t>Kontemporer</w:t>
      </w:r>
      <w:proofErr w:type="spellEnd"/>
    </w:p>
    <w:p w14:paraId="3EE99B96" w14:textId="77777777" w:rsidR="007E42E9" w:rsidRPr="007E42E9" w:rsidRDefault="007E42E9" w:rsidP="007E42E9">
      <w:pPr>
        <w:spacing w:line="360" w:lineRule="auto"/>
        <w:rPr>
          <w:rFonts w:ascii="Book Antiqua" w:hAnsi="Book Antiqua"/>
          <w:sz w:val="24"/>
          <w:szCs w:val="24"/>
        </w:rPr>
      </w:pPr>
      <w:r w:rsidRPr="007E42E9">
        <w:rPr>
          <w:rFonts w:ascii="Book Antiqua" w:hAnsi="Book Antiqua"/>
          <w:sz w:val="24"/>
          <w:szCs w:val="24"/>
        </w:rPr>
        <w:br w:type="page"/>
      </w:r>
    </w:p>
    <w:p w14:paraId="138DC8D0" w14:textId="4A0B786B" w:rsidR="00760832" w:rsidRPr="00044C88" w:rsidRDefault="007E42E9" w:rsidP="007E42E9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b/>
          <w:bCs/>
          <w:sz w:val="24"/>
          <w:szCs w:val="24"/>
        </w:rPr>
      </w:pPr>
      <w:r w:rsidRPr="00044C88">
        <w:rPr>
          <w:rFonts w:ascii="Book Antiqua" w:hAnsi="Book Antiqua"/>
          <w:b/>
          <w:bCs/>
          <w:sz w:val="24"/>
          <w:szCs w:val="24"/>
        </w:rPr>
        <w:lastRenderedPageBreak/>
        <w:t>PENDAHULUAN</w:t>
      </w:r>
    </w:p>
    <w:p w14:paraId="32E8FC59" w14:textId="2F25BF65" w:rsidR="007E42E9" w:rsidRDefault="007E42E9" w:rsidP="00D8706B">
      <w:pPr>
        <w:spacing w:after="0" w:line="360" w:lineRule="auto"/>
        <w:ind w:left="720" w:firstLine="720"/>
        <w:jc w:val="both"/>
        <w:rPr>
          <w:rFonts w:ascii="Book Antiqua" w:hAnsi="Book Antiqua"/>
          <w:sz w:val="24"/>
          <w:szCs w:val="24"/>
        </w:rPr>
      </w:pPr>
      <w:r w:rsidRPr="007E42E9">
        <w:rPr>
          <w:rFonts w:ascii="Book Antiqua" w:hAnsi="Book Antiqua"/>
          <w:sz w:val="24"/>
          <w:szCs w:val="24"/>
        </w:rPr>
        <w:t xml:space="preserve">Islam </w:t>
      </w:r>
      <w:proofErr w:type="spellStart"/>
      <w:r w:rsidRPr="007E42E9">
        <w:rPr>
          <w:rFonts w:ascii="Book Antiqua" w:hAnsi="Book Antiqua"/>
          <w:sz w:val="24"/>
          <w:szCs w:val="24"/>
        </w:rPr>
        <w:t>adalah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agama yang </w:t>
      </w:r>
      <w:proofErr w:type="spellStart"/>
      <w:r w:rsidRPr="007E42E9">
        <w:rPr>
          <w:rFonts w:ascii="Book Antiqua" w:hAnsi="Book Antiqua"/>
          <w:sz w:val="24"/>
          <w:szCs w:val="24"/>
        </w:rPr>
        <w:t>komprehensif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rahmatan</w:t>
      </w:r>
      <w:proofErr w:type="spellEnd"/>
      <w:r w:rsidRPr="007E42E9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lil</w:t>
      </w:r>
      <w:proofErr w:type="spellEnd"/>
      <w:r w:rsidRPr="007E42E9">
        <w:rPr>
          <w:rFonts w:ascii="Book Antiqua" w:hAnsi="Book Antiqua"/>
          <w:i/>
          <w:sz w:val="24"/>
          <w:szCs w:val="24"/>
        </w:rPr>
        <w:t xml:space="preserve"> ‘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alamin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) yang </w:t>
      </w:r>
      <w:proofErr w:type="spellStart"/>
      <w:r w:rsidRPr="007E42E9">
        <w:rPr>
          <w:rFonts w:ascii="Book Antiqua" w:hAnsi="Book Antiqua"/>
          <w:sz w:val="24"/>
          <w:szCs w:val="24"/>
        </w:rPr>
        <w:t>mengatur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semua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aspek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kehidupan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manusia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telah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disampaikan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oleh </w:t>
      </w:r>
      <w:proofErr w:type="spellStart"/>
      <w:r w:rsidRPr="007E42E9">
        <w:rPr>
          <w:rFonts w:ascii="Book Antiqua" w:hAnsi="Book Antiqua"/>
          <w:sz w:val="24"/>
          <w:szCs w:val="24"/>
        </w:rPr>
        <w:t>Rasulullah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Muhammad SAW</w:t>
      </w:r>
      <w:r>
        <w:rPr>
          <w:rFonts w:ascii="Book Antiqua" w:hAnsi="Book Antiqua"/>
          <w:sz w:val="24"/>
          <w:szCs w:val="24"/>
        </w:rPr>
        <w:t xml:space="preserve"> (Ismail Nawawi,2012).</w:t>
      </w:r>
    </w:p>
    <w:p w14:paraId="7D0990B7" w14:textId="7301C12D" w:rsidR="007E42E9" w:rsidRDefault="007E42E9" w:rsidP="00D8706B">
      <w:pPr>
        <w:spacing w:after="0" w:line="360" w:lineRule="auto"/>
        <w:ind w:left="720" w:firstLine="720"/>
        <w:jc w:val="both"/>
        <w:rPr>
          <w:rFonts w:ascii="Book Antiqua" w:hAnsi="Book Antiqua"/>
          <w:sz w:val="24"/>
          <w:szCs w:val="24"/>
        </w:rPr>
      </w:pPr>
      <w:r w:rsidRPr="007E42E9">
        <w:rPr>
          <w:rFonts w:ascii="Book Antiqua" w:hAnsi="Book Antiqua"/>
          <w:sz w:val="24"/>
          <w:szCs w:val="24"/>
        </w:rPr>
        <w:t xml:space="preserve"> </w:t>
      </w:r>
      <w:r w:rsidRPr="007E42E9">
        <w:rPr>
          <w:rFonts w:ascii="Book Antiqua" w:hAnsi="Book Antiqua"/>
          <w:sz w:val="24"/>
          <w:szCs w:val="24"/>
        </w:rPr>
        <w:t xml:space="preserve">Salah </w:t>
      </w:r>
      <w:proofErr w:type="spellStart"/>
      <w:r w:rsidRPr="007E42E9">
        <w:rPr>
          <w:rFonts w:ascii="Book Antiqua" w:hAnsi="Book Antiqua"/>
          <w:sz w:val="24"/>
          <w:szCs w:val="24"/>
        </w:rPr>
        <w:t>satu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aspek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diatur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kegiatan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ekonomi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dikenal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fiqh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muamalah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Kegiatan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ekonomi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Islam </w:t>
      </w:r>
      <w:proofErr w:type="spellStart"/>
      <w:r w:rsidRPr="007E42E9">
        <w:rPr>
          <w:rFonts w:ascii="Book Antiqua" w:hAnsi="Book Antiqua"/>
          <w:sz w:val="24"/>
          <w:szCs w:val="24"/>
        </w:rPr>
        <w:t>telah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sejak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dahulu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yakni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pada zaman </w:t>
      </w:r>
      <w:proofErr w:type="spellStart"/>
      <w:r w:rsidRPr="007E42E9">
        <w:rPr>
          <w:rFonts w:ascii="Book Antiqua" w:hAnsi="Book Antiqua"/>
          <w:sz w:val="24"/>
          <w:szCs w:val="24"/>
        </w:rPr>
        <w:t>Rasulullah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Muhammad SAW dan </w:t>
      </w:r>
      <w:proofErr w:type="spellStart"/>
      <w:r w:rsidRPr="007E42E9">
        <w:rPr>
          <w:rFonts w:ascii="Book Antiqua" w:hAnsi="Book Antiqua"/>
          <w:sz w:val="24"/>
          <w:szCs w:val="24"/>
        </w:rPr>
        <w:t>berkembang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sampai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saat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E42E9">
        <w:rPr>
          <w:rFonts w:ascii="Book Antiqua" w:hAnsi="Book Antiqua"/>
          <w:sz w:val="24"/>
          <w:szCs w:val="24"/>
        </w:rPr>
        <w:t>ini.Apabila</w:t>
      </w:r>
      <w:proofErr w:type="spellEnd"/>
      <w:proofErr w:type="gram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kegiatan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ekonomi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transaksi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pada masa </w:t>
      </w:r>
      <w:proofErr w:type="spellStart"/>
      <w:r w:rsidRPr="007E42E9">
        <w:rPr>
          <w:rFonts w:ascii="Book Antiqua" w:hAnsi="Book Antiqua"/>
          <w:sz w:val="24"/>
          <w:szCs w:val="24"/>
        </w:rPr>
        <w:t>Rasulullah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tatap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muka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bertemu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langsung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di pasar, </w:t>
      </w:r>
      <w:proofErr w:type="spellStart"/>
      <w:r w:rsidRPr="007E42E9">
        <w:rPr>
          <w:rFonts w:ascii="Book Antiqua" w:hAnsi="Book Antiqua"/>
          <w:sz w:val="24"/>
          <w:szCs w:val="24"/>
        </w:rPr>
        <w:t>maka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kegiatan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ekonomi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transaksi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7E42E9">
        <w:rPr>
          <w:rFonts w:ascii="Book Antiqua" w:hAnsi="Book Antiqua"/>
          <w:sz w:val="24"/>
          <w:szCs w:val="24"/>
        </w:rPr>
        <w:t>saat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lebih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beragam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misalnya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tatap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muka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Kegiatan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ekonomi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Islam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fiqh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muamalah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7E42E9">
        <w:rPr>
          <w:rFonts w:ascii="Book Antiqua" w:hAnsi="Book Antiqua"/>
          <w:sz w:val="24"/>
          <w:szCs w:val="24"/>
        </w:rPr>
        <w:t>saat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disebut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sebagai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fiqh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muamalah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era </w:t>
      </w:r>
      <w:proofErr w:type="spellStart"/>
      <w:r w:rsidRPr="007E42E9">
        <w:rPr>
          <w:rFonts w:ascii="Book Antiqua" w:hAnsi="Book Antiqua"/>
          <w:sz w:val="24"/>
          <w:szCs w:val="24"/>
        </w:rPr>
        <w:t>kontemporer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</w:p>
    <w:p w14:paraId="4FA89CA9" w14:textId="77777777" w:rsidR="007E42E9" w:rsidRDefault="007E42E9" w:rsidP="00D8706B">
      <w:pPr>
        <w:spacing w:after="0" w:line="360" w:lineRule="auto"/>
        <w:ind w:left="720" w:firstLine="720"/>
        <w:jc w:val="both"/>
        <w:rPr>
          <w:rFonts w:ascii="Book Antiqua" w:hAnsi="Book Antiqua"/>
          <w:sz w:val="24"/>
          <w:szCs w:val="24"/>
        </w:rPr>
      </w:pPr>
      <w:r w:rsidRPr="007E42E9">
        <w:rPr>
          <w:rFonts w:ascii="Book Antiqua" w:hAnsi="Book Antiqua"/>
          <w:sz w:val="24"/>
          <w:szCs w:val="24"/>
        </w:rPr>
        <w:t xml:space="preserve">Salah </w:t>
      </w:r>
      <w:proofErr w:type="spellStart"/>
      <w:r w:rsidRPr="007E42E9">
        <w:rPr>
          <w:rFonts w:ascii="Book Antiqua" w:hAnsi="Book Antiqua"/>
          <w:sz w:val="24"/>
          <w:szCs w:val="24"/>
        </w:rPr>
        <w:t>satu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persoalan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mendasar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dihadapi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oleh </w:t>
      </w:r>
      <w:proofErr w:type="spellStart"/>
      <w:r w:rsidRPr="007E42E9">
        <w:rPr>
          <w:rFonts w:ascii="Book Antiqua" w:hAnsi="Book Antiqua"/>
          <w:sz w:val="24"/>
          <w:szCs w:val="24"/>
        </w:rPr>
        <w:t>fiqh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muamalah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era </w:t>
      </w:r>
      <w:proofErr w:type="spellStart"/>
      <w:r w:rsidRPr="007E42E9">
        <w:rPr>
          <w:rFonts w:ascii="Book Antiqua" w:hAnsi="Book Antiqua"/>
          <w:sz w:val="24"/>
          <w:szCs w:val="24"/>
        </w:rPr>
        <w:t>kontemporer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sekarang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bagaimana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hukum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Islam </w:t>
      </w:r>
      <w:proofErr w:type="spellStart"/>
      <w:r w:rsidRPr="007E42E9">
        <w:rPr>
          <w:rFonts w:ascii="Book Antiqua" w:hAnsi="Book Antiqua"/>
          <w:sz w:val="24"/>
          <w:szCs w:val="24"/>
        </w:rPr>
        <w:t>menjawab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berbagai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macam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persoalan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bentuk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tranasaksi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ekonomi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kontemporer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serta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perkembangannya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belum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pengaturannya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kitab-kitab </w:t>
      </w:r>
      <w:proofErr w:type="spellStart"/>
      <w:r w:rsidRPr="007E42E9">
        <w:rPr>
          <w:rFonts w:ascii="Book Antiqua" w:hAnsi="Book Antiqua"/>
          <w:sz w:val="24"/>
          <w:szCs w:val="24"/>
        </w:rPr>
        <w:t>fiqih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klasik</w:t>
      </w:r>
      <w:proofErr w:type="spellEnd"/>
      <w:r w:rsidRPr="007E42E9">
        <w:rPr>
          <w:rFonts w:ascii="Book Antiqua" w:hAnsi="Book Antiqua"/>
          <w:sz w:val="24"/>
          <w:szCs w:val="24"/>
        </w:rPr>
        <w:t>.</w:t>
      </w:r>
    </w:p>
    <w:p w14:paraId="6BF5FC99" w14:textId="77777777" w:rsidR="007E42E9" w:rsidRDefault="007E42E9" w:rsidP="00D8706B">
      <w:pPr>
        <w:spacing w:after="0" w:line="360" w:lineRule="auto"/>
        <w:ind w:left="720" w:firstLine="720"/>
        <w:jc w:val="both"/>
        <w:rPr>
          <w:rFonts w:ascii="Book Antiqua" w:hAnsi="Book Antiqua"/>
          <w:szCs w:val="24"/>
        </w:rPr>
      </w:pPr>
      <w:proofErr w:type="spellStart"/>
      <w:r w:rsidRPr="007E42E9">
        <w:rPr>
          <w:rFonts w:ascii="Book Antiqua" w:hAnsi="Book Antiqua"/>
          <w:sz w:val="24"/>
          <w:szCs w:val="24"/>
        </w:rPr>
        <w:t>Kegiatan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sehari-hari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manusia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termasuk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kegiatan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ekonomi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dihindarkan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terlepas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E42E9">
        <w:rPr>
          <w:rFonts w:ascii="Book Antiqua" w:hAnsi="Book Antiqua"/>
          <w:sz w:val="24"/>
          <w:szCs w:val="24"/>
        </w:rPr>
        <w:t>perjanjian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).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seorang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lelaki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disatukan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seorang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wanita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kehidupan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bersama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7E42E9">
        <w:rPr>
          <w:rFonts w:ascii="Book Antiqua" w:hAnsi="Book Antiqua"/>
          <w:sz w:val="24"/>
          <w:szCs w:val="24"/>
        </w:rPr>
        <w:t>berbagai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kegiatan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bisnis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usaha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kita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bisa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dilaksanakan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merupakan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pertemuan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kabul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antara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dua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lebih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melahirkan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akibat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hukum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7E42E9">
        <w:rPr>
          <w:rFonts w:ascii="Book Antiqua" w:hAnsi="Book Antiqua"/>
          <w:sz w:val="24"/>
          <w:szCs w:val="24"/>
        </w:rPr>
        <w:t>objeknya</w:t>
      </w:r>
      <w:proofErr w:type="spellEnd"/>
      <w:r>
        <w:rPr>
          <w:rFonts w:ascii="Book Antiqua" w:hAnsi="Book Antiqua"/>
          <w:sz w:val="24"/>
          <w:szCs w:val="24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</w:rPr>
        <w:t>Syamsul</w:t>
      </w:r>
      <w:proofErr w:type="spellEnd"/>
      <w:r>
        <w:rPr>
          <w:rFonts w:ascii="Book Antiqua" w:hAnsi="Book Antiqua"/>
          <w:sz w:val="24"/>
          <w:szCs w:val="24"/>
        </w:rPr>
        <w:t xml:space="preserve"> Anwar, 2007)</w:t>
      </w:r>
      <w:r>
        <w:rPr>
          <w:rFonts w:ascii="Book Antiqua" w:hAnsi="Book Antiqua"/>
          <w:szCs w:val="24"/>
        </w:rPr>
        <w:t>.</w:t>
      </w:r>
    </w:p>
    <w:p w14:paraId="257CDCF2" w14:textId="77777777" w:rsidR="007E42E9" w:rsidRDefault="007E42E9" w:rsidP="00D8706B">
      <w:pPr>
        <w:spacing w:after="0" w:line="360" w:lineRule="auto"/>
        <w:ind w:left="720" w:firstLine="720"/>
        <w:jc w:val="both"/>
        <w:rPr>
          <w:rFonts w:ascii="Book Antiqua" w:hAnsi="Book Antiqua"/>
          <w:sz w:val="24"/>
          <w:szCs w:val="24"/>
        </w:rPr>
      </w:pPr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membantu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setiap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orang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melaksanakan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keinginan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kebutuhannya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dipenuhi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tanpa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bantuan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jasa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orang lain</w:t>
      </w:r>
      <w:r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terbentuknya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maka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diperlukan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unsur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pembentuk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Hanya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saja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di </w:t>
      </w:r>
      <w:proofErr w:type="spellStart"/>
      <w:r w:rsidRPr="007E42E9">
        <w:rPr>
          <w:rFonts w:ascii="Book Antiqua" w:hAnsi="Book Antiqua"/>
          <w:sz w:val="24"/>
          <w:szCs w:val="24"/>
        </w:rPr>
        <w:t>kalangan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fuqaha </w:t>
      </w:r>
      <w:proofErr w:type="spellStart"/>
      <w:r w:rsidRPr="007E42E9">
        <w:rPr>
          <w:rFonts w:ascii="Book Antiqua" w:hAnsi="Book Antiqua"/>
          <w:sz w:val="24"/>
          <w:szCs w:val="24"/>
        </w:rPr>
        <w:t>terdapat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perbedaan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pandangan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berkenaan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unsur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pembentuk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tersebut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E42E9">
        <w:rPr>
          <w:rFonts w:ascii="Book Antiqua" w:hAnsi="Book Antiqua"/>
          <w:sz w:val="24"/>
          <w:szCs w:val="24"/>
        </w:rPr>
        <w:t>rukun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syarat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). </w:t>
      </w:r>
      <w:r>
        <w:rPr>
          <w:rFonts w:ascii="Book Antiqua" w:hAnsi="Book Antiqua"/>
          <w:sz w:val="24"/>
          <w:szCs w:val="24"/>
        </w:rPr>
        <w:t>(</w:t>
      </w:r>
      <w:proofErr w:type="spellStart"/>
      <w:r>
        <w:rPr>
          <w:sz w:val="20"/>
        </w:rPr>
        <w:t>Wahbah</w:t>
      </w:r>
      <w:proofErr w:type="spellEnd"/>
      <w:r>
        <w:rPr>
          <w:sz w:val="20"/>
        </w:rPr>
        <w:t xml:space="preserve"> az-</w:t>
      </w:r>
      <w:r w:rsidRPr="00E470FF">
        <w:rPr>
          <w:sz w:val="20"/>
        </w:rPr>
        <w:t>Zuhaili</w:t>
      </w:r>
      <w:r>
        <w:rPr>
          <w:sz w:val="20"/>
        </w:rPr>
        <w:t>,2011</w:t>
      </w:r>
      <w:r>
        <w:rPr>
          <w:rFonts w:ascii="Book Antiqua" w:hAnsi="Book Antiqua"/>
          <w:sz w:val="24"/>
          <w:szCs w:val="24"/>
        </w:rPr>
        <w:t>)</w:t>
      </w:r>
    </w:p>
    <w:p w14:paraId="7DA661EB" w14:textId="77777777" w:rsidR="007E42E9" w:rsidRDefault="007E42E9" w:rsidP="00D8706B">
      <w:pPr>
        <w:spacing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7E42E9">
        <w:rPr>
          <w:rFonts w:ascii="Book Antiqua" w:hAnsi="Book Antiqua"/>
          <w:sz w:val="24"/>
          <w:szCs w:val="24"/>
        </w:rPr>
        <w:t>Menurut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jumhur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fuqaha, </w:t>
      </w:r>
      <w:proofErr w:type="spellStart"/>
      <w:r w:rsidRPr="007E42E9">
        <w:rPr>
          <w:rFonts w:ascii="Book Antiqua" w:hAnsi="Book Antiqua"/>
          <w:sz w:val="24"/>
          <w:szCs w:val="24"/>
        </w:rPr>
        <w:t>rukun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terdiri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atas:</w:t>
      </w:r>
      <w:proofErr w:type="spellEnd"/>
    </w:p>
    <w:p w14:paraId="54B929C2" w14:textId="77777777" w:rsidR="007E42E9" w:rsidRDefault="007E42E9" w:rsidP="00D8706B">
      <w:pPr>
        <w:spacing w:after="0" w:line="360" w:lineRule="auto"/>
        <w:ind w:left="720" w:firstLine="720"/>
        <w:jc w:val="both"/>
        <w:rPr>
          <w:rFonts w:ascii="Book Antiqua" w:hAnsi="Book Antiqua"/>
          <w:sz w:val="24"/>
          <w:szCs w:val="24"/>
        </w:rPr>
      </w:pPr>
      <w:r w:rsidRPr="007E42E9">
        <w:rPr>
          <w:rFonts w:ascii="Book Antiqua" w:hAnsi="Book Antiqua"/>
          <w:i/>
          <w:sz w:val="24"/>
          <w:szCs w:val="24"/>
        </w:rPr>
        <w:lastRenderedPageBreak/>
        <w:t>Al</w:t>
      </w:r>
      <w:proofErr w:type="gramStart"/>
      <w:r w:rsidRPr="007E42E9">
        <w:rPr>
          <w:rFonts w:ascii="Book Antiqua" w:hAnsi="Book Antiqua"/>
          <w:i/>
          <w:sz w:val="24"/>
          <w:szCs w:val="24"/>
        </w:rPr>
        <w:t>-‘</w:t>
      </w:r>
      <w:proofErr w:type="spellStart"/>
      <w:proofErr w:type="gramEnd"/>
      <w:r w:rsidRPr="007E42E9">
        <w:rPr>
          <w:rFonts w:ascii="Book Antiqua" w:hAnsi="Book Antiqua"/>
          <w:i/>
          <w:sz w:val="24"/>
          <w:szCs w:val="24"/>
        </w:rPr>
        <w:t>Aqidain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yakni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para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terlibat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langsung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Mahallul</w:t>
      </w:r>
      <w:proofErr w:type="spellEnd"/>
      <w:r w:rsidRPr="007E42E9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yakni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objek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sesuatu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diakadkan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Shighat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kalimat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lazimnya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dilaksanakan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r>
        <w:rPr>
          <w:rFonts w:ascii="Book Antiqua" w:hAnsi="Book Antiqua"/>
          <w:sz w:val="24"/>
          <w:szCs w:val="24"/>
        </w:rPr>
        <w:t>Kabul.</w:t>
      </w:r>
    </w:p>
    <w:p w14:paraId="08A28B0F" w14:textId="7320EE82" w:rsidR="007E42E9" w:rsidRDefault="007E42E9" w:rsidP="00D8706B">
      <w:pPr>
        <w:spacing w:after="0" w:line="360" w:lineRule="auto"/>
        <w:ind w:left="72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7E42E9">
        <w:rPr>
          <w:rFonts w:ascii="Book Antiqua" w:hAnsi="Book Antiqua"/>
          <w:i/>
          <w:sz w:val="24"/>
          <w:szCs w:val="24"/>
        </w:rPr>
        <w:t>Shighat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dikatakan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sebagai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esensi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suatu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yaitu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merupakan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para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melakukan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berupa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kabul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suatu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janji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penawaran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pertama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sesuatu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Kabul </w:t>
      </w:r>
      <w:proofErr w:type="spellStart"/>
      <w:r w:rsidRPr="007E42E9">
        <w:rPr>
          <w:rFonts w:ascii="Book Antiqua" w:hAnsi="Book Antiqua"/>
          <w:sz w:val="24"/>
          <w:szCs w:val="24"/>
        </w:rPr>
        <w:t>adalah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suatu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menerima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kedua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penawaran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oleh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pertama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kabul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merepresentasikan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perizinan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E42E9">
        <w:rPr>
          <w:rFonts w:ascii="Book Antiqua" w:hAnsi="Book Antiqua"/>
          <w:sz w:val="24"/>
          <w:szCs w:val="24"/>
        </w:rPr>
        <w:t>ridha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persetujuan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) yang </w:t>
      </w:r>
      <w:proofErr w:type="spellStart"/>
      <w:r w:rsidRPr="007E42E9">
        <w:rPr>
          <w:rFonts w:ascii="Book Antiqua" w:hAnsi="Book Antiqua"/>
          <w:sz w:val="24"/>
          <w:szCs w:val="24"/>
        </w:rPr>
        <w:t>menggambarkan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kesepakatan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kerelaan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kedua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kewajiban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ditimbulkan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Agar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kabul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menimbulkan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akibat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hukum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maka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disyaratkan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dua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E42E9">
        <w:rPr>
          <w:rFonts w:ascii="Book Antiqua" w:hAnsi="Book Antiqua"/>
          <w:sz w:val="24"/>
          <w:szCs w:val="24"/>
        </w:rPr>
        <w:t>hal</w:t>
      </w:r>
      <w:proofErr w:type="spellEnd"/>
      <w:r w:rsidRPr="007E42E9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Cs w:val="24"/>
        </w:rPr>
        <w:t>(</w:t>
      </w:r>
      <w:proofErr w:type="gramEnd"/>
      <w:r w:rsidRPr="007E42E9">
        <w:rPr>
          <w:sz w:val="20"/>
        </w:rPr>
        <w:t xml:space="preserve"> </w:t>
      </w:r>
      <w:r w:rsidRPr="00816877">
        <w:rPr>
          <w:sz w:val="20"/>
        </w:rPr>
        <w:t>Afdawaiza</w:t>
      </w:r>
      <w:r>
        <w:rPr>
          <w:sz w:val="20"/>
        </w:rPr>
        <w:t>,2008)</w:t>
      </w:r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Pertama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adanya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persesuaian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tawafuq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7E42E9">
        <w:rPr>
          <w:rFonts w:ascii="Book Antiqua" w:hAnsi="Book Antiqua"/>
          <w:sz w:val="24"/>
          <w:szCs w:val="24"/>
        </w:rPr>
        <w:t>antara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qabul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menandai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persesuaian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sehingga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terwujud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kata </w:t>
      </w:r>
      <w:proofErr w:type="spellStart"/>
      <w:r w:rsidRPr="007E42E9">
        <w:rPr>
          <w:rFonts w:ascii="Book Antiqua" w:hAnsi="Book Antiqua"/>
          <w:sz w:val="24"/>
          <w:szCs w:val="24"/>
        </w:rPr>
        <w:t>sepakat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Kedua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persesuaian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tersebut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haruslah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disampaikan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majelis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sama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E42E9">
        <w:rPr>
          <w:rFonts w:ascii="Book Antiqua" w:hAnsi="Book Antiqua"/>
          <w:sz w:val="24"/>
          <w:szCs w:val="24"/>
        </w:rPr>
        <w:t>kesatuan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majelis</w:t>
      </w:r>
      <w:proofErr w:type="spellEnd"/>
      <w:r w:rsidRPr="007E42E9">
        <w:rPr>
          <w:rFonts w:ascii="Book Antiqua" w:hAnsi="Book Antiqua"/>
          <w:sz w:val="24"/>
          <w:szCs w:val="24"/>
        </w:rPr>
        <w:t>).</w:t>
      </w:r>
    </w:p>
    <w:p w14:paraId="650A7F1C" w14:textId="7D372B0D" w:rsidR="007E42E9" w:rsidRDefault="007E42E9" w:rsidP="007E42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bCs/>
          <w:iCs/>
          <w:sz w:val="24"/>
          <w:szCs w:val="24"/>
        </w:rPr>
      </w:pPr>
      <w:r>
        <w:rPr>
          <w:rFonts w:ascii="Book Antiqua" w:hAnsi="Book Antiqua"/>
          <w:b/>
          <w:bCs/>
          <w:iCs/>
          <w:sz w:val="24"/>
          <w:szCs w:val="24"/>
        </w:rPr>
        <w:t>METODE PENELITIAN</w:t>
      </w:r>
    </w:p>
    <w:p w14:paraId="40451C19" w14:textId="6EC39CBD" w:rsidR="00286914" w:rsidRPr="00AC39FE" w:rsidRDefault="00286914" w:rsidP="00AC39FE">
      <w:pPr>
        <w:pStyle w:val="ListParagraph"/>
        <w:spacing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AC39FE">
        <w:rPr>
          <w:rFonts w:ascii="Book Antiqua" w:hAnsi="Book Antiqua"/>
          <w:sz w:val="24"/>
          <w:szCs w:val="24"/>
        </w:rPr>
        <w:t>Jenis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penelitian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ini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menggunakan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penelitian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kualitatif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AC39FE" w:rsidRPr="00AC39FE">
        <w:rPr>
          <w:rFonts w:ascii="Book Antiqua" w:hAnsi="Book Antiqua"/>
          <w:sz w:val="24"/>
          <w:szCs w:val="24"/>
        </w:rPr>
        <w:t>bahwa</w:t>
      </w:r>
      <w:proofErr w:type="spellEnd"/>
      <w:r w:rsidR="00AC39FE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dalam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penelitian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kualitatif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peneliti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menyelidiki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secara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cermat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suatu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program, </w:t>
      </w:r>
      <w:proofErr w:type="spellStart"/>
      <w:r w:rsidRPr="00AC39FE">
        <w:rPr>
          <w:rFonts w:ascii="Book Antiqua" w:hAnsi="Book Antiqua"/>
          <w:sz w:val="24"/>
          <w:szCs w:val="24"/>
        </w:rPr>
        <w:t>peristiwa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C39FE">
        <w:rPr>
          <w:rFonts w:ascii="Book Antiqua" w:hAnsi="Book Antiqua"/>
          <w:sz w:val="24"/>
          <w:szCs w:val="24"/>
        </w:rPr>
        <w:t>aktivitas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, proses, </w:t>
      </w:r>
      <w:proofErr w:type="spellStart"/>
      <w:r w:rsidRPr="00AC39FE">
        <w:rPr>
          <w:rFonts w:ascii="Book Antiqua" w:hAnsi="Book Antiqua"/>
          <w:sz w:val="24"/>
          <w:szCs w:val="24"/>
        </w:rPr>
        <w:t>atau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sekelompok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individu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C39FE">
        <w:rPr>
          <w:rFonts w:ascii="Book Antiqua" w:hAnsi="Book Antiqua"/>
          <w:sz w:val="24"/>
          <w:szCs w:val="24"/>
        </w:rPr>
        <w:t>Kasus-kasus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dibatasi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oleh </w:t>
      </w:r>
      <w:proofErr w:type="spellStart"/>
      <w:r w:rsidRPr="00AC39FE">
        <w:rPr>
          <w:rFonts w:ascii="Book Antiqua" w:hAnsi="Book Antiqua"/>
          <w:sz w:val="24"/>
          <w:szCs w:val="24"/>
        </w:rPr>
        <w:t>waktu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C39FE">
        <w:rPr>
          <w:rFonts w:ascii="Book Antiqua" w:hAnsi="Book Antiqua"/>
          <w:sz w:val="24"/>
          <w:szCs w:val="24"/>
        </w:rPr>
        <w:t>aktivitas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Pr="00AC39FE">
        <w:rPr>
          <w:rFonts w:ascii="Book Antiqua" w:hAnsi="Book Antiqua"/>
          <w:sz w:val="24"/>
          <w:szCs w:val="24"/>
        </w:rPr>
        <w:t>peneliti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mengumpulkan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informasi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secara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lengkap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dengan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menggunakan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berbagai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prosedur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pengumpulan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data </w:t>
      </w:r>
      <w:proofErr w:type="spellStart"/>
      <w:r w:rsidRPr="00AC39FE">
        <w:rPr>
          <w:rFonts w:ascii="Book Antiqua" w:hAnsi="Book Antiqua"/>
          <w:sz w:val="24"/>
          <w:szCs w:val="24"/>
        </w:rPr>
        <w:t>berdasarkan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waktu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C39FE">
        <w:rPr>
          <w:rFonts w:ascii="Book Antiqua" w:hAnsi="Book Antiqua"/>
          <w:sz w:val="24"/>
          <w:szCs w:val="24"/>
        </w:rPr>
        <w:t>telah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ditentukan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AC39FE">
        <w:rPr>
          <w:rFonts w:ascii="Book Antiqua" w:hAnsi="Book Antiqua"/>
          <w:sz w:val="24"/>
          <w:szCs w:val="24"/>
        </w:rPr>
        <w:t>Kusumastuti</w:t>
      </w:r>
      <w:proofErr w:type="spellEnd"/>
      <w:r w:rsidRPr="00AC39FE">
        <w:rPr>
          <w:rFonts w:ascii="Book Antiqua" w:hAnsi="Book Antiqua"/>
          <w:sz w:val="24"/>
          <w:szCs w:val="24"/>
        </w:rPr>
        <w:t>, Adhi, 2019).</w:t>
      </w:r>
    </w:p>
    <w:p w14:paraId="0B13C4DF" w14:textId="33FAA73E" w:rsidR="007E42E9" w:rsidRPr="00D8706B" w:rsidRDefault="00AC39FE" w:rsidP="00D8706B">
      <w:pPr>
        <w:pStyle w:val="ListParagraph"/>
        <w:spacing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AC39FE">
        <w:rPr>
          <w:rFonts w:ascii="Book Antiqua" w:hAnsi="Book Antiqua"/>
          <w:sz w:val="24"/>
          <w:szCs w:val="24"/>
        </w:rPr>
        <w:t xml:space="preserve">Adapun </w:t>
      </w:r>
      <w:proofErr w:type="spellStart"/>
      <w:r w:rsidRPr="00AC39FE">
        <w:rPr>
          <w:rFonts w:ascii="Book Antiqua" w:hAnsi="Book Antiqua"/>
          <w:sz w:val="24"/>
          <w:szCs w:val="24"/>
        </w:rPr>
        <w:t>peneliti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menggunakan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pendekatan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M</w:t>
      </w:r>
      <w:r w:rsidR="00286914" w:rsidRPr="00AC39FE">
        <w:rPr>
          <w:rFonts w:ascii="Book Antiqua" w:hAnsi="Book Antiqua"/>
          <w:sz w:val="24"/>
          <w:szCs w:val="24"/>
        </w:rPr>
        <w:t>etode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library research </w:t>
      </w:r>
      <w:r w:rsidRPr="00AC39FE">
        <w:rPr>
          <w:rFonts w:ascii="Book Antiqua" w:hAnsi="Book Antiqua"/>
          <w:sz w:val="24"/>
          <w:szCs w:val="24"/>
        </w:rPr>
        <w:t xml:space="preserve">yang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berdasarkan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informasi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dari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bahan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pustaka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penulis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akan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memanfaatkannya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untuk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mengidentifikasi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ketentuan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prinsip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hukum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relevan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untuk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mengatasi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masalah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ditemukan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Dengan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menggunakan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sumber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data primer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diantaranya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undang-undang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C39FE">
        <w:rPr>
          <w:rFonts w:ascii="Book Antiqua" w:hAnsi="Book Antiqua"/>
          <w:sz w:val="24"/>
          <w:szCs w:val="24"/>
        </w:rPr>
        <w:t>ekonomi</w:t>
      </w:r>
      <w:proofErr w:type="spellEnd"/>
      <w:r w:rsidRPr="00AC39FE">
        <w:rPr>
          <w:rFonts w:ascii="Book Antiqua" w:hAnsi="Book Antiqua"/>
          <w:sz w:val="24"/>
          <w:szCs w:val="24"/>
        </w:rPr>
        <w:t xml:space="preserve"> Syariah </w:t>
      </w:r>
      <w:r w:rsidR="00286914" w:rsidRPr="00AC39FE">
        <w:rPr>
          <w:rFonts w:ascii="Book Antiqua" w:hAnsi="Book Antiqua"/>
          <w:sz w:val="24"/>
          <w:szCs w:val="24"/>
        </w:rPr>
        <w:t xml:space="preserve">dan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sumber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data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sekunder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berupa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karya-karya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ilmiah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buku-buku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hukum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makalah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jurnal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disertasi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dan </w:t>
      </w:r>
      <w:proofErr w:type="spellStart"/>
      <w:proofErr w:type="gramStart"/>
      <w:r w:rsidR="00286914" w:rsidRPr="00AC39FE">
        <w:rPr>
          <w:rFonts w:ascii="Book Antiqua" w:hAnsi="Book Antiqua"/>
          <w:sz w:val="24"/>
          <w:szCs w:val="24"/>
        </w:rPr>
        <w:t>tesis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>(</w:t>
      </w:r>
      <w:proofErr w:type="gramEnd"/>
      <w:r w:rsidR="00286914" w:rsidRPr="00AC39FE">
        <w:rPr>
          <w:rFonts w:ascii="Book Antiqua" w:hAnsi="Book Antiqua"/>
          <w:sz w:val="24"/>
          <w:szCs w:val="24"/>
        </w:rPr>
        <w:t>Raihan,2017)</w:t>
      </w:r>
      <w:r w:rsidRPr="00AC39FE">
        <w:rPr>
          <w:rFonts w:ascii="Book Antiqua" w:hAnsi="Book Antiqua"/>
          <w:sz w:val="24"/>
          <w:szCs w:val="24"/>
        </w:rPr>
        <w:t xml:space="preserve"> Hasil dan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Analisis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data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dalam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lastRenderedPageBreak/>
        <w:t>penelitian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kualitatif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dilakukan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sejak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sebelum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memasuki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lapangan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selama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lapangan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setelah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selesai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lapangan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286914" w:rsidRPr="00AC39FE">
        <w:rPr>
          <w:rFonts w:ascii="Book Antiqua" w:hAnsi="Book Antiqua"/>
          <w:sz w:val="24"/>
          <w:szCs w:val="24"/>
        </w:rPr>
        <w:t>Sugiyono</w:t>
      </w:r>
      <w:proofErr w:type="spellEnd"/>
      <w:r w:rsidR="00286914" w:rsidRPr="00AC39FE">
        <w:rPr>
          <w:rFonts w:ascii="Book Antiqua" w:hAnsi="Book Antiqua"/>
          <w:sz w:val="24"/>
          <w:szCs w:val="24"/>
        </w:rPr>
        <w:t>, 2018).</w:t>
      </w:r>
    </w:p>
    <w:p w14:paraId="3C4DF29C" w14:textId="4334FC37" w:rsidR="00A6277B" w:rsidRDefault="007E42E9" w:rsidP="00D870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bCs/>
          <w:iCs/>
          <w:sz w:val="24"/>
          <w:szCs w:val="24"/>
        </w:rPr>
      </w:pPr>
      <w:r w:rsidRPr="007E42E9">
        <w:rPr>
          <w:rFonts w:ascii="Book Antiqua" w:hAnsi="Book Antiqua"/>
          <w:b/>
          <w:bCs/>
          <w:iCs/>
          <w:sz w:val="24"/>
          <w:szCs w:val="24"/>
        </w:rPr>
        <w:t>ANALISIS DAN PEMBAHASAN</w:t>
      </w:r>
    </w:p>
    <w:p w14:paraId="62BC9475" w14:textId="30DEE802" w:rsidR="00A6277B" w:rsidRPr="00A6277B" w:rsidRDefault="00A6277B" w:rsidP="00A6277B">
      <w:pPr>
        <w:pStyle w:val="ListParagraph"/>
        <w:spacing w:after="0" w:line="360" w:lineRule="auto"/>
        <w:ind w:firstLine="720"/>
        <w:jc w:val="both"/>
        <w:rPr>
          <w:rFonts w:ascii="Book Antiqua" w:hAnsi="Book Antiqua"/>
          <w:b/>
          <w:bCs/>
          <w:iCs/>
          <w:sz w:val="24"/>
          <w:szCs w:val="24"/>
        </w:rPr>
      </w:pPr>
      <w:proofErr w:type="spellStart"/>
      <w:r w:rsidRPr="00A6277B">
        <w:rPr>
          <w:rFonts w:ascii="Book Antiqua" w:hAnsi="Book Antiqua"/>
          <w:sz w:val="24"/>
          <w:szCs w:val="24"/>
        </w:rPr>
        <w:t>Bentuk-bentuk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dalam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transaksi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ekonomi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syari’ah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dapat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dibagi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menjadi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dua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A6277B">
        <w:rPr>
          <w:rFonts w:ascii="Book Antiqua" w:hAnsi="Book Antiqua"/>
          <w:sz w:val="24"/>
          <w:szCs w:val="24"/>
        </w:rPr>
        <w:t>Pertama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tabarru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merupakan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6277B">
        <w:rPr>
          <w:rFonts w:ascii="Book Antiqua" w:hAnsi="Book Antiqua"/>
          <w:sz w:val="24"/>
          <w:szCs w:val="24"/>
        </w:rPr>
        <w:t>dilakukan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antara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kedua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belah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pihak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dengan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tujuan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tolong-menolong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dalam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rangka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berbuat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kebaikan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6277B">
        <w:rPr>
          <w:rFonts w:ascii="Book Antiqua" w:hAnsi="Book Antiqua"/>
          <w:sz w:val="24"/>
          <w:szCs w:val="24"/>
        </w:rPr>
        <w:t>Kedua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tijarah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merupakan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6277B">
        <w:rPr>
          <w:rFonts w:ascii="Book Antiqua" w:hAnsi="Book Antiqua"/>
          <w:sz w:val="24"/>
          <w:szCs w:val="24"/>
        </w:rPr>
        <w:t>dilakukan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dengan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tujuan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mencari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keuntungan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6277B">
        <w:rPr>
          <w:rFonts w:ascii="Book Antiqua" w:hAnsi="Book Antiqua"/>
          <w:sz w:val="24"/>
          <w:szCs w:val="24"/>
        </w:rPr>
        <w:t>karena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bersifat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komersial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tijarah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dapat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dibagi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menjadi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dua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yaitu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: natural </w:t>
      </w:r>
      <w:proofErr w:type="spellStart"/>
      <w:r w:rsidRPr="00A6277B">
        <w:rPr>
          <w:rFonts w:ascii="Book Antiqua" w:hAnsi="Book Antiqua"/>
          <w:sz w:val="24"/>
          <w:szCs w:val="24"/>
        </w:rPr>
        <w:t>certainity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contracts (NCC) dan natural </w:t>
      </w:r>
      <w:proofErr w:type="spellStart"/>
      <w:r w:rsidRPr="00A6277B">
        <w:rPr>
          <w:rFonts w:ascii="Book Antiqua" w:hAnsi="Book Antiqua"/>
          <w:sz w:val="24"/>
          <w:szCs w:val="24"/>
        </w:rPr>
        <w:t>uncertainity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contracts</w:t>
      </w:r>
      <w:r w:rsidRPr="00A6277B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6277B">
        <w:rPr>
          <w:rFonts w:ascii="Book Antiqua" w:hAnsi="Book Antiqua"/>
          <w:sz w:val="24"/>
          <w:szCs w:val="24"/>
        </w:rPr>
        <w:t>pengertian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perjanjian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menurut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Subekti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adalah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“</w:t>
      </w:r>
      <w:proofErr w:type="spellStart"/>
      <w:r w:rsidRPr="00A6277B">
        <w:rPr>
          <w:rFonts w:ascii="Book Antiqua" w:hAnsi="Book Antiqua"/>
          <w:sz w:val="24"/>
          <w:szCs w:val="24"/>
        </w:rPr>
        <w:t>suatu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peristiwa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seseorang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berjanji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kepada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orang lain </w:t>
      </w:r>
      <w:proofErr w:type="spellStart"/>
      <w:r w:rsidRPr="00A6277B">
        <w:rPr>
          <w:rFonts w:ascii="Book Antiqua" w:hAnsi="Book Antiqua"/>
          <w:sz w:val="24"/>
          <w:szCs w:val="24"/>
        </w:rPr>
        <w:t>atau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dua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orang </w:t>
      </w:r>
      <w:proofErr w:type="spellStart"/>
      <w:r w:rsidRPr="00A6277B">
        <w:rPr>
          <w:rFonts w:ascii="Book Antiqua" w:hAnsi="Book Antiqua"/>
          <w:sz w:val="24"/>
          <w:szCs w:val="24"/>
        </w:rPr>
        <w:t>itu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saling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berjanji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untuk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melaksanakan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sesuatu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hal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”. </w:t>
      </w:r>
      <w:proofErr w:type="spellStart"/>
      <w:r w:rsidRPr="00A6277B">
        <w:rPr>
          <w:rFonts w:ascii="Book Antiqua" w:hAnsi="Book Antiqua"/>
          <w:sz w:val="24"/>
          <w:szCs w:val="24"/>
        </w:rPr>
        <w:t>Peristiwa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perjanjian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ini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menimbulkan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hubungan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Pr="00A6277B">
        <w:rPr>
          <w:rFonts w:ascii="Book Antiqua" w:hAnsi="Book Antiqua"/>
          <w:sz w:val="24"/>
          <w:szCs w:val="24"/>
        </w:rPr>
        <w:t>antara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orang-orang </w:t>
      </w:r>
      <w:proofErr w:type="spellStart"/>
      <w:r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6277B">
        <w:rPr>
          <w:rFonts w:ascii="Book Antiqua" w:hAnsi="Book Antiqua"/>
          <w:sz w:val="24"/>
          <w:szCs w:val="24"/>
        </w:rPr>
        <w:t>disebut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dengan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perikatan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A6277B">
        <w:rPr>
          <w:rFonts w:ascii="Book Antiqua" w:hAnsi="Book Antiqua"/>
          <w:sz w:val="24"/>
          <w:szCs w:val="24"/>
        </w:rPr>
        <w:t>Gemala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Dewi,2005)</w:t>
      </w:r>
    </w:p>
    <w:p w14:paraId="18210B32" w14:textId="3ABB6C42" w:rsidR="00D8706B" w:rsidRDefault="00A6277B" w:rsidP="00A6277B">
      <w:pPr>
        <w:pStyle w:val="ListParagraph"/>
        <w:spacing w:after="0" w:line="360" w:lineRule="auto"/>
        <w:jc w:val="both"/>
        <w:rPr>
          <w:rFonts w:ascii="Book Antiqua" w:hAnsi="Book Antiqua"/>
          <w:b/>
          <w:bCs/>
          <w:iCs/>
          <w:sz w:val="24"/>
          <w:szCs w:val="24"/>
        </w:rPr>
      </w:pPr>
      <w:proofErr w:type="spellStart"/>
      <w:r>
        <w:rPr>
          <w:rFonts w:ascii="Book Antiqua" w:hAnsi="Book Antiqua"/>
          <w:b/>
          <w:bCs/>
          <w:iCs/>
          <w:sz w:val="24"/>
          <w:szCs w:val="24"/>
        </w:rPr>
        <w:t>Sighat</w:t>
      </w:r>
      <w:proofErr w:type="spellEnd"/>
      <w:r>
        <w:rPr>
          <w:rFonts w:ascii="Book Antiqua" w:hAnsi="Book Antiqua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bCs/>
          <w:iCs/>
          <w:sz w:val="24"/>
          <w:szCs w:val="24"/>
        </w:rPr>
        <w:t>Akad</w:t>
      </w:r>
      <w:proofErr w:type="spellEnd"/>
      <w:r w:rsidR="007E42E9" w:rsidRPr="007E42E9">
        <w:rPr>
          <w:rFonts w:ascii="Book Antiqua" w:hAnsi="Book Antiqua"/>
          <w:b/>
          <w:bCs/>
          <w:iCs/>
          <w:sz w:val="24"/>
          <w:szCs w:val="24"/>
        </w:rPr>
        <w:t xml:space="preserve"> </w:t>
      </w:r>
    </w:p>
    <w:p w14:paraId="561466FB" w14:textId="0B6C3343" w:rsidR="007E42E9" w:rsidRPr="007E42E9" w:rsidRDefault="007E42E9" w:rsidP="00A6277B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Book Antiqua" w:hAnsi="Book Antiqua"/>
          <w:b/>
          <w:sz w:val="24"/>
          <w:szCs w:val="24"/>
        </w:rPr>
      </w:pPr>
      <w:proofErr w:type="spellStart"/>
      <w:r w:rsidRPr="007E42E9">
        <w:rPr>
          <w:rFonts w:ascii="Book Antiqua" w:hAnsi="Book Antiqua"/>
          <w:b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b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b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b/>
          <w:sz w:val="24"/>
          <w:szCs w:val="24"/>
        </w:rPr>
        <w:t>Lisan</w:t>
      </w:r>
      <w:proofErr w:type="spellEnd"/>
    </w:p>
    <w:p w14:paraId="393C8A67" w14:textId="056357F6" w:rsidR="007E42E9" w:rsidRPr="00A6277B" w:rsidRDefault="007E42E9" w:rsidP="00A6277B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r w:rsidRPr="007E42E9">
        <w:rPr>
          <w:rFonts w:ascii="Book Antiqua" w:hAnsi="Book Antiqua"/>
          <w:sz w:val="24"/>
          <w:szCs w:val="24"/>
        </w:rPr>
        <w:t xml:space="preserve">Para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mengungkapkan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perkataan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jelas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sangat </w:t>
      </w:r>
      <w:proofErr w:type="spellStart"/>
      <w:r w:rsidRPr="007E42E9">
        <w:rPr>
          <w:rFonts w:ascii="Book Antiqua" w:hAnsi="Book Antiqua"/>
          <w:sz w:val="24"/>
          <w:szCs w:val="24"/>
        </w:rPr>
        <w:t>jelas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qabul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oleh para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ucapan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harus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jelas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maksudnya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tegas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isinya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Ijab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qabul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langsung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berhadapan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langsung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telepon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misalnya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6277B">
        <w:rPr>
          <w:rFonts w:ascii="Book Antiqua" w:hAnsi="Book Antiqua"/>
          <w:sz w:val="24"/>
          <w:szCs w:val="24"/>
        </w:rPr>
        <w:t>Tentang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permasalahan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secara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tidak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berhadapan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langsung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ini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6277B">
        <w:rPr>
          <w:rFonts w:ascii="Book Antiqua" w:hAnsi="Book Antiqua"/>
          <w:sz w:val="24"/>
          <w:szCs w:val="24"/>
        </w:rPr>
        <w:t>terdapat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permasalahan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Pr="00A6277B">
        <w:rPr>
          <w:rFonts w:ascii="Book Antiqua" w:hAnsi="Book Antiqua"/>
          <w:sz w:val="24"/>
          <w:szCs w:val="24"/>
        </w:rPr>
        <w:t>dalamnya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6277B">
        <w:rPr>
          <w:rFonts w:ascii="Book Antiqua" w:hAnsi="Book Antiqua"/>
          <w:sz w:val="24"/>
          <w:szCs w:val="24"/>
        </w:rPr>
        <w:t>yakni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penentuan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kapan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terjadinya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jika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dihubungkan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dengan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kesatuan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majelis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sebagai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syarat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ijab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6277B">
        <w:rPr>
          <w:rFonts w:ascii="Book Antiqua" w:hAnsi="Book Antiqua"/>
          <w:sz w:val="24"/>
          <w:szCs w:val="24"/>
        </w:rPr>
        <w:t>qabul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. Hal </w:t>
      </w:r>
      <w:proofErr w:type="spellStart"/>
      <w:r w:rsidRPr="00A6277B">
        <w:rPr>
          <w:rFonts w:ascii="Book Antiqua" w:hAnsi="Book Antiqua"/>
          <w:sz w:val="24"/>
          <w:szCs w:val="24"/>
        </w:rPr>
        <w:t>ini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dibahas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A6277B">
        <w:rPr>
          <w:rFonts w:ascii="Book Antiqua" w:hAnsi="Book Antiqua"/>
          <w:sz w:val="24"/>
          <w:szCs w:val="24"/>
        </w:rPr>
        <w:t>bagian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majelis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>.</w:t>
      </w:r>
    </w:p>
    <w:p w14:paraId="629675E5" w14:textId="77777777" w:rsidR="007E42E9" w:rsidRPr="00A6277B" w:rsidRDefault="007E42E9" w:rsidP="00A6277B">
      <w:pPr>
        <w:pStyle w:val="ListParagraph"/>
        <w:numPr>
          <w:ilvl w:val="0"/>
          <w:numId w:val="4"/>
        </w:numPr>
        <w:spacing w:after="0" w:line="360" w:lineRule="auto"/>
        <w:rPr>
          <w:rFonts w:ascii="Book Antiqua" w:hAnsi="Book Antiqua"/>
          <w:b/>
          <w:sz w:val="24"/>
          <w:szCs w:val="24"/>
        </w:rPr>
      </w:pPr>
      <w:proofErr w:type="spellStart"/>
      <w:r w:rsidRPr="00A6277B">
        <w:rPr>
          <w:rFonts w:ascii="Book Antiqua" w:hAnsi="Book Antiqua"/>
          <w:b/>
          <w:sz w:val="24"/>
          <w:szCs w:val="24"/>
        </w:rPr>
        <w:t>Pernyataan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b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b/>
          <w:sz w:val="24"/>
          <w:szCs w:val="24"/>
        </w:rPr>
        <w:t>melalui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Tulisan</w:t>
      </w:r>
    </w:p>
    <w:p w14:paraId="56E8ECC2" w14:textId="61AE0195" w:rsidR="00A6277B" w:rsidRPr="00A6277B" w:rsidRDefault="007E42E9" w:rsidP="00A6277B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Cs w:val="24"/>
        </w:rPr>
      </w:pPr>
      <w:proofErr w:type="spellStart"/>
      <w:r w:rsidRPr="007E42E9">
        <w:rPr>
          <w:rFonts w:ascii="Book Antiqua" w:hAnsi="Book Antiqua"/>
          <w:sz w:val="24"/>
          <w:szCs w:val="24"/>
        </w:rPr>
        <w:t>Selain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perkataan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lisan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tulisan.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fungsinya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sebagai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tulisan </w:t>
      </w:r>
      <w:proofErr w:type="spellStart"/>
      <w:r w:rsidRPr="007E42E9">
        <w:rPr>
          <w:rFonts w:ascii="Book Antiqua" w:hAnsi="Book Antiqua"/>
          <w:sz w:val="24"/>
          <w:szCs w:val="24"/>
        </w:rPr>
        <w:t>mempunyai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fungsi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kekuatan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sama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lisan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sangat </w:t>
      </w:r>
      <w:proofErr w:type="spellStart"/>
      <w:r w:rsidRPr="007E42E9">
        <w:rPr>
          <w:rFonts w:ascii="Book Antiqua" w:hAnsi="Book Antiqua"/>
          <w:sz w:val="24"/>
          <w:szCs w:val="24"/>
        </w:rPr>
        <w:t>tepat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dilaksanakan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lastRenderedPageBreak/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berjauhan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berbeda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tempat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7E42E9">
        <w:rPr>
          <w:rFonts w:ascii="Book Antiqua" w:hAnsi="Book Antiqua"/>
          <w:sz w:val="24"/>
          <w:szCs w:val="24"/>
        </w:rPr>
        <w:t>digunakan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perikatan-perikatan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lebih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sulit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seperti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perikatan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oleh </w:t>
      </w:r>
      <w:proofErr w:type="spellStart"/>
      <w:r w:rsidRPr="007E42E9">
        <w:rPr>
          <w:rFonts w:ascii="Book Antiqua" w:hAnsi="Book Antiqua"/>
          <w:sz w:val="24"/>
          <w:szCs w:val="24"/>
        </w:rPr>
        <w:t>suatu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badan </w:t>
      </w:r>
      <w:proofErr w:type="spellStart"/>
      <w:r w:rsidRPr="007E42E9">
        <w:rPr>
          <w:rFonts w:ascii="Book Antiqua" w:hAnsi="Book Antiqua"/>
          <w:sz w:val="24"/>
          <w:szCs w:val="24"/>
        </w:rPr>
        <w:t>hukum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Akan </w:t>
      </w:r>
      <w:proofErr w:type="spellStart"/>
      <w:r w:rsidRPr="007E42E9">
        <w:rPr>
          <w:rFonts w:ascii="Book Antiqua" w:hAnsi="Book Antiqua"/>
          <w:sz w:val="24"/>
          <w:szCs w:val="24"/>
        </w:rPr>
        <w:t>ditemui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kesulitan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apabila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suatu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badan </w:t>
      </w:r>
      <w:proofErr w:type="spellStart"/>
      <w:r w:rsidRPr="007E42E9">
        <w:rPr>
          <w:rFonts w:ascii="Book Antiqua" w:hAnsi="Book Antiqua"/>
          <w:sz w:val="24"/>
          <w:szCs w:val="24"/>
        </w:rPr>
        <w:t>hukum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perikatan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tertulis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karena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diperlukan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alat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bukti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tanggungjawab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terhadap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orang-orang yang </w:t>
      </w:r>
      <w:proofErr w:type="spellStart"/>
      <w:r w:rsidRPr="007E42E9">
        <w:rPr>
          <w:rFonts w:ascii="Book Antiqua" w:hAnsi="Book Antiqua"/>
          <w:sz w:val="24"/>
          <w:szCs w:val="24"/>
        </w:rPr>
        <w:t>yang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bergabung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badan </w:t>
      </w:r>
      <w:proofErr w:type="spellStart"/>
      <w:r w:rsidRPr="007E42E9">
        <w:rPr>
          <w:rFonts w:ascii="Book Antiqua" w:hAnsi="Book Antiqua"/>
          <w:sz w:val="24"/>
          <w:szCs w:val="24"/>
        </w:rPr>
        <w:t>hukum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tersebut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tempat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dilaksanakan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tulisan dan </w:t>
      </w:r>
      <w:proofErr w:type="spellStart"/>
      <w:r w:rsidRPr="007E42E9">
        <w:rPr>
          <w:rFonts w:ascii="Book Antiqua" w:hAnsi="Book Antiqua"/>
          <w:sz w:val="24"/>
          <w:szCs w:val="24"/>
        </w:rPr>
        <w:t>mengirimkan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utusan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kaidah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fiqih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: “tulisan </w:t>
      </w:r>
      <w:proofErr w:type="spellStart"/>
      <w:r w:rsidRPr="007E42E9">
        <w:rPr>
          <w:rFonts w:ascii="Book Antiqua" w:hAnsi="Book Antiqua"/>
          <w:sz w:val="24"/>
          <w:szCs w:val="24"/>
        </w:rPr>
        <w:t>bagi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orang yang </w:t>
      </w:r>
      <w:proofErr w:type="spellStart"/>
      <w:r w:rsidRPr="007E42E9">
        <w:rPr>
          <w:rFonts w:ascii="Book Antiqua" w:hAnsi="Book Antiqua"/>
          <w:sz w:val="24"/>
          <w:szCs w:val="24"/>
        </w:rPr>
        <w:t>hadir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sepadan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pembicaraan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lisan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orang yang </w:t>
      </w:r>
      <w:proofErr w:type="spellStart"/>
      <w:r w:rsidRPr="007E42E9">
        <w:rPr>
          <w:rFonts w:ascii="Book Antiqua" w:hAnsi="Book Antiqua"/>
          <w:sz w:val="24"/>
          <w:szCs w:val="24"/>
        </w:rPr>
        <w:t>hadir</w:t>
      </w:r>
      <w:proofErr w:type="spellEnd"/>
      <w:r w:rsidRPr="007E42E9">
        <w:rPr>
          <w:rFonts w:ascii="Book Antiqua" w:hAnsi="Book Antiqua"/>
          <w:sz w:val="24"/>
          <w:szCs w:val="24"/>
        </w:rPr>
        <w:t>”.</w:t>
      </w:r>
    </w:p>
    <w:p w14:paraId="466B3A2B" w14:textId="77777777" w:rsidR="007E42E9" w:rsidRPr="00A6277B" w:rsidRDefault="007E42E9" w:rsidP="00A6277B">
      <w:pPr>
        <w:pStyle w:val="ListParagraph"/>
        <w:numPr>
          <w:ilvl w:val="0"/>
          <w:numId w:val="4"/>
        </w:numPr>
        <w:spacing w:after="0" w:line="360" w:lineRule="auto"/>
        <w:rPr>
          <w:rFonts w:ascii="Book Antiqua" w:hAnsi="Book Antiqua"/>
          <w:b/>
          <w:sz w:val="24"/>
          <w:szCs w:val="24"/>
        </w:rPr>
      </w:pPr>
      <w:proofErr w:type="spellStart"/>
      <w:r w:rsidRPr="00A6277B">
        <w:rPr>
          <w:rFonts w:ascii="Book Antiqua" w:hAnsi="Book Antiqua"/>
          <w:b/>
          <w:sz w:val="24"/>
          <w:szCs w:val="24"/>
        </w:rPr>
        <w:t>Penyampaian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b/>
          <w:sz w:val="24"/>
          <w:szCs w:val="24"/>
        </w:rPr>
        <w:t>Ijab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b/>
          <w:sz w:val="24"/>
          <w:szCs w:val="24"/>
        </w:rPr>
        <w:t>melalui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Tulisan</w:t>
      </w:r>
    </w:p>
    <w:p w14:paraId="725DD576" w14:textId="77777777" w:rsidR="00A6277B" w:rsidRDefault="007E42E9" w:rsidP="00A6277B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Cs w:val="24"/>
        </w:rPr>
      </w:pPr>
      <w:proofErr w:type="spellStart"/>
      <w:r w:rsidRPr="007E42E9">
        <w:rPr>
          <w:rFonts w:ascii="Book Antiqua" w:hAnsi="Book Antiqua"/>
          <w:sz w:val="24"/>
          <w:szCs w:val="24"/>
        </w:rPr>
        <w:t>Bentuknya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bahwa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seseorang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mengutus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orang lain </w:t>
      </w:r>
      <w:proofErr w:type="spellStart"/>
      <w:r w:rsidRPr="007E42E9">
        <w:rPr>
          <w:rFonts w:ascii="Book Antiqua" w:hAnsi="Book Antiqua"/>
          <w:sz w:val="24"/>
          <w:szCs w:val="24"/>
        </w:rPr>
        <w:t>kepada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kedua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menyampaikan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penawarannya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lisan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apa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Hal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beda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penerima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kuasa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di mana </w:t>
      </w:r>
      <w:proofErr w:type="spellStart"/>
      <w:r w:rsidRPr="007E42E9">
        <w:rPr>
          <w:rFonts w:ascii="Book Antiqua" w:hAnsi="Book Antiqua"/>
          <w:sz w:val="24"/>
          <w:szCs w:val="24"/>
        </w:rPr>
        <w:t>ia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sekedar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menyampaikan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pemberi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kuasa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(</w:t>
      </w:r>
      <w:r w:rsidRPr="007E42E9">
        <w:rPr>
          <w:rFonts w:ascii="Book Antiqua" w:hAnsi="Book Antiqua"/>
          <w:i/>
          <w:sz w:val="24"/>
          <w:szCs w:val="24"/>
        </w:rPr>
        <w:t>al-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muwakkil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7E42E9">
        <w:rPr>
          <w:rFonts w:ascii="Book Antiqua" w:hAnsi="Book Antiqua"/>
          <w:sz w:val="24"/>
          <w:szCs w:val="24"/>
        </w:rPr>
        <w:t>melainkan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7E42E9">
        <w:rPr>
          <w:rFonts w:ascii="Book Antiqua" w:hAnsi="Book Antiqua"/>
          <w:sz w:val="24"/>
          <w:szCs w:val="24"/>
        </w:rPr>
        <w:t>melakukan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tindakan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hukum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berdasarkan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sendiri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nama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pemberi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kuasa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sedang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utusan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menyatakan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sendiri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melainkan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menyampaikan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apa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orang yang </w:t>
      </w:r>
      <w:proofErr w:type="spellStart"/>
      <w:r w:rsidRPr="007E42E9">
        <w:rPr>
          <w:rFonts w:ascii="Book Antiqua" w:hAnsi="Book Antiqua"/>
          <w:sz w:val="24"/>
          <w:szCs w:val="24"/>
        </w:rPr>
        <w:t>mengutusnya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(</w:t>
      </w:r>
      <w:r w:rsidRPr="007E42E9">
        <w:rPr>
          <w:rFonts w:ascii="Book Antiqua" w:hAnsi="Book Antiqua"/>
          <w:i/>
          <w:sz w:val="24"/>
          <w:szCs w:val="24"/>
        </w:rPr>
        <w:t>al-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mursil</w:t>
      </w:r>
      <w:proofErr w:type="spellEnd"/>
      <w:r w:rsidRPr="007E42E9">
        <w:rPr>
          <w:rFonts w:ascii="Book Antiqua" w:hAnsi="Book Antiqua"/>
          <w:sz w:val="24"/>
          <w:szCs w:val="24"/>
        </w:rPr>
        <w:t>).</w:t>
      </w:r>
      <w:proofErr w:type="spellStart"/>
      <w:r w:rsidRPr="00A6277B">
        <w:rPr>
          <w:rFonts w:ascii="Book Antiqua" w:hAnsi="Book Antiqua"/>
          <w:sz w:val="24"/>
          <w:szCs w:val="24"/>
        </w:rPr>
        <w:t>Bila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kehendak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pengutus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telah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disampaikan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kepada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mitra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janji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A6277B">
        <w:rPr>
          <w:rFonts w:ascii="Book Antiqua" w:hAnsi="Book Antiqua"/>
          <w:sz w:val="24"/>
          <w:szCs w:val="24"/>
        </w:rPr>
        <w:t>mitra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telah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menerima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ijab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A6277B">
        <w:rPr>
          <w:rFonts w:ascii="Book Antiqua" w:hAnsi="Book Antiqua"/>
          <w:sz w:val="24"/>
          <w:szCs w:val="24"/>
        </w:rPr>
        <w:t>menyatakan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qabulnya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) pada </w:t>
      </w:r>
      <w:proofErr w:type="spellStart"/>
      <w:r w:rsidRPr="00A6277B">
        <w:rPr>
          <w:rFonts w:ascii="Book Antiqua" w:hAnsi="Book Antiqua"/>
          <w:sz w:val="24"/>
          <w:szCs w:val="24"/>
        </w:rPr>
        <w:t>majelis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tempat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dinyatakan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ijab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itu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6277B">
        <w:rPr>
          <w:rFonts w:ascii="Book Antiqua" w:hAnsi="Book Antiqua"/>
          <w:sz w:val="24"/>
          <w:szCs w:val="24"/>
        </w:rPr>
        <w:t>maka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perjanjian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telah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terjadi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6277B">
        <w:rPr>
          <w:rFonts w:ascii="Book Antiqua" w:hAnsi="Book Antiqua"/>
          <w:sz w:val="24"/>
          <w:szCs w:val="24"/>
        </w:rPr>
        <w:t>Bila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ijab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disampaikan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tanpa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adanya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perintah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dari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prisipal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6277B">
        <w:rPr>
          <w:rFonts w:ascii="Book Antiqua" w:hAnsi="Book Antiqua"/>
          <w:sz w:val="24"/>
          <w:szCs w:val="24"/>
        </w:rPr>
        <w:t>kemudian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diterima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oleh </w:t>
      </w:r>
      <w:proofErr w:type="spellStart"/>
      <w:r w:rsidRPr="00A6277B">
        <w:rPr>
          <w:rFonts w:ascii="Book Antiqua" w:hAnsi="Book Antiqua"/>
          <w:sz w:val="24"/>
          <w:szCs w:val="24"/>
        </w:rPr>
        <w:t>mitra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janji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6277B">
        <w:rPr>
          <w:rFonts w:ascii="Book Antiqua" w:hAnsi="Book Antiqua"/>
          <w:sz w:val="24"/>
          <w:szCs w:val="24"/>
        </w:rPr>
        <w:t>maka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akadnya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dianggap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terjadi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tetapi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berstatus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mauquf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6277B">
        <w:rPr>
          <w:rFonts w:ascii="Book Antiqua" w:hAnsi="Book Antiqua"/>
          <w:sz w:val="24"/>
          <w:szCs w:val="24"/>
        </w:rPr>
        <w:t>karena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dianggap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sebagai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pelaku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tanpa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kewenangan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A6277B">
        <w:rPr>
          <w:rFonts w:ascii="Book Antiqua" w:hAnsi="Book Antiqua"/>
          <w:sz w:val="24"/>
          <w:szCs w:val="24"/>
        </w:rPr>
        <w:t>fuduli</w:t>
      </w:r>
      <w:proofErr w:type="spellEnd"/>
      <w:r w:rsidRPr="00A6277B">
        <w:rPr>
          <w:rFonts w:ascii="Book Antiqua" w:hAnsi="Book Antiqua"/>
          <w:sz w:val="24"/>
          <w:szCs w:val="24"/>
        </w:rPr>
        <w:t>).</w:t>
      </w:r>
    </w:p>
    <w:p w14:paraId="6AF6D5D2" w14:textId="14D2F65F" w:rsidR="007E42E9" w:rsidRPr="00A6277B" w:rsidRDefault="00A6277B" w:rsidP="00A6277B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Bila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ijab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disampaikan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melalui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tulisan/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surat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penerima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surat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menyatakan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penerimaannya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terhadap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penawaran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maka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perjanjian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dianggap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sudah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terjadi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Apabila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penerima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tulisan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tidak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menyatakan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penerimaannya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majelis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tempat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diterimanya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surat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maka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penawaran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tidak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terhapus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tapi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tetap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berlaku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selama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surat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ada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penerimanya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.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Ini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beda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dengan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penawaran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melalui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utusan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apabila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tidak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dijawab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oleh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penerima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lastRenderedPageBreak/>
        <w:t>penawaran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tempat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disampaikannya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penawaran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tersebut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maka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ijab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menjadi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hapus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diperlukan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ijab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7E42E9" w:rsidRPr="00A6277B">
        <w:rPr>
          <w:rFonts w:ascii="Book Antiqua" w:hAnsi="Book Antiqua"/>
          <w:sz w:val="24"/>
          <w:szCs w:val="24"/>
        </w:rPr>
        <w:t>baru</w:t>
      </w:r>
      <w:proofErr w:type="spellEnd"/>
      <w:r w:rsidR="007E42E9" w:rsidRPr="00A6277B">
        <w:rPr>
          <w:rFonts w:ascii="Book Antiqua" w:hAnsi="Book Antiqua"/>
          <w:sz w:val="24"/>
          <w:szCs w:val="24"/>
        </w:rPr>
        <w:t>.</w:t>
      </w:r>
    </w:p>
    <w:p w14:paraId="1A75B7A0" w14:textId="77777777" w:rsidR="007E42E9" w:rsidRPr="007E42E9" w:rsidRDefault="007E42E9" w:rsidP="00A6277B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Book Antiqua" w:hAnsi="Book Antiqua"/>
          <w:b/>
          <w:sz w:val="24"/>
          <w:szCs w:val="24"/>
        </w:rPr>
      </w:pPr>
      <w:proofErr w:type="spellStart"/>
      <w:r w:rsidRPr="007E42E9">
        <w:rPr>
          <w:rFonts w:ascii="Book Antiqua" w:hAnsi="Book Antiqua"/>
          <w:b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b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b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b/>
          <w:sz w:val="24"/>
          <w:szCs w:val="24"/>
        </w:rPr>
        <w:t>Isyarat</w:t>
      </w:r>
      <w:proofErr w:type="spellEnd"/>
      <w:r w:rsidRPr="007E42E9">
        <w:rPr>
          <w:rFonts w:ascii="Book Antiqua" w:hAnsi="Book Antiqua"/>
          <w:b/>
          <w:sz w:val="24"/>
          <w:szCs w:val="24"/>
        </w:rPr>
        <w:t>.</w:t>
      </w:r>
    </w:p>
    <w:p w14:paraId="4BE557E9" w14:textId="77777777" w:rsidR="00A6277B" w:rsidRDefault="007E42E9" w:rsidP="00A6277B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7E42E9">
        <w:rPr>
          <w:rFonts w:ascii="Book Antiqua" w:hAnsi="Book Antiqua"/>
          <w:sz w:val="24"/>
          <w:szCs w:val="24"/>
        </w:rPr>
        <w:t>Suatu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perjanjian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oleh orang yang normal, </w:t>
      </w:r>
      <w:proofErr w:type="spellStart"/>
      <w:r w:rsidRPr="007E42E9">
        <w:rPr>
          <w:rFonts w:ascii="Book Antiqua" w:hAnsi="Book Antiqua"/>
          <w:sz w:val="24"/>
          <w:szCs w:val="24"/>
        </w:rPr>
        <w:t>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tetapi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bisa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oleh orang yang </w:t>
      </w:r>
      <w:proofErr w:type="spellStart"/>
      <w:r w:rsidRPr="007E42E9">
        <w:rPr>
          <w:rFonts w:ascii="Book Antiqua" w:hAnsi="Book Antiqua"/>
          <w:sz w:val="24"/>
          <w:szCs w:val="24"/>
        </w:rPr>
        <w:t>cacat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melalui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isyarat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syarat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jelas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maksudnya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tegas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menunjukkan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membuat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perjanjian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Menurut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Hanafiyah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Syafi’iyyah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Bila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berakad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orang yang </w:t>
      </w:r>
      <w:proofErr w:type="spellStart"/>
      <w:r w:rsidRPr="007E42E9">
        <w:rPr>
          <w:rFonts w:ascii="Book Antiqua" w:hAnsi="Book Antiqua"/>
          <w:sz w:val="24"/>
          <w:szCs w:val="24"/>
        </w:rPr>
        <w:t>mampu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berakad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lisan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maka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dianggap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terwujud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Ia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harus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memanifestasikan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lisan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tulisan, </w:t>
      </w:r>
      <w:proofErr w:type="spellStart"/>
      <w:r w:rsidRPr="007E42E9">
        <w:rPr>
          <w:rFonts w:ascii="Book Antiqua" w:hAnsi="Book Antiqua"/>
          <w:sz w:val="24"/>
          <w:szCs w:val="24"/>
        </w:rPr>
        <w:t>karena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isyarat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meskipun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menunjukkan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ia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memberikan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keyakinan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jika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dibandingkan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keyakinan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dihasilkan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lisan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tulisan.</w:t>
      </w:r>
    </w:p>
    <w:p w14:paraId="24A04019" w14:textId="5B120B07" w:rsidR="007E42E9" w:rsidRPr="00A6277B" w:rsidRDefault="007E42E9" w:rsidP="00A6277B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A6277B">
        <w:rPr>
          <w:rFonts w:ascii="Book Antiqua" w:hAnsi="Book Antiqua"/>
          <w:sz w:val="24"/>
          <w:szCs w:val="24"/>
        </w:rPr>
        <w:t>Hanya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saja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para fuqaha </w:t>
      </w:r>
      <w:proofErr w:type="spellStart"/>
      <w:r w:rsidRPr="00A6277B">
        <w:rPr>
          <w:rFonts w:ascii="Book Antiqua" w:hAnsi="Book Antiqua"/>
          <w:sz w:val="24"/>
          <w:szCs w:val="24"/>
        </w:rPr>
        <w:t>berbeda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pandangan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tentang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kapan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bentuk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isyarat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ini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digunakan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bagi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orang yang normal. Ada yang </w:t>
      </w:r>
      <w:proofErr w:type="spellStart"/>
      <w:r w:rsidRPr="00A6277B">
        <w:rPr>
          <w:rFonts w:ascii="Book Antiqua" w:hAnsi="Book Antiqua"/>
          <w:sz w:val="24"/>
          <w:szCs w:val="24"/>
        </w:rPr>
        <w:t>menganggapnya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sebagai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pengecualian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ketika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cara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lain </w:t>
      </w:r>
      <w:proofErr w:type="spellStart"/>
      <w:r w:rsidRPr="00A6277B">
        <w:rPr>
          <w:rFonts w:ascii="Book Antiqua" w:hAnsi="Book Antiqua"/>
          <w:sz w:val="24"/>
          <w:szCs w:val="24"/>
        </w:rPr>
        <w:t>tidak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dapat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dipergunakan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6277B">
        <w:rPr>
          <w:rFonts w:ascii="Book Antiqua" w:hAnsi="Book Antiqua"/>
          <w:sz w:val="24"/>
          <w:szCs w:val="24"/>
        </w:rPr>
        <w:t>Syafi’i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tidak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membolehkan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digunakannya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bentuk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pernyataan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kehendak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secara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tulisan, </w:t>
      </w:r>
      <w:proofErr w:type="spellStart"/>
      <w:r w:rsidRPr="00A6277B">
        <w:rPr>
          <w:rFonts w:ascii="Book Antiqua" w:hAnsi="Book Antiqua"/>
          <w:sz w:val="24"/>
          <w:szCs w:val="24"/>
        </w:rPr>
        <w:t>tentunya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untuk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isyarat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lebih-lebih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tidak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membolehkannya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. Yang paling </w:t>
      </w:r>
      <w:proofErr w:type="spellStart"/>
      <w:r w:rsidRPr="00A6277B">
        <w:rPr>
          <w:rFonts w:ascii="Book Antiqua" w:hAnsi="Book Antiqua"/>
          <w:sz w:val="24"/>
          <w:szCs w:val="24"/>
        </w:rPr>
        <w:t>fleksibel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adalah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pendapat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mazhab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maliki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6277B">
        <w:rPr>
          <w:rFonts w:ascii="Book Antiqua" w:hAnsi="Book Antiqua"/>
          <w:sz w:val="24"/>
          <w:szCs w:val="24"/>
        </w:rPr>
        <w:t>membenarkan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penggunaan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isyarat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oleh </w:t>
      </w:r>
      <w:proofErr w:type="spellStart"/>
      <w:r w:rsidRPr="00A6277B">
        <w:rPr>
          <w:rFonts w:ascii="Book Antiqua" w:hAnsi="Book Antiqua"/>
          <w:sz w:val="24"/>
          <w:szCs w:val="24"/>
        </w:rPr>
        <w:t>siapapun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A6277B">
        <w:rPr>
          <w:rFonts w:ascii="Book Antiqua" w:hAnsi="Book Antiqua"/>
          <w:sz w:val="24"/>
          <w:szCs w:val="24"/>
        </w:rPr>
        <w:t>sekalipun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bukan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orang yang </w:t>
      </w:r>
      <w:proofErr w:type="spellStart"/>
      <w:r w:rsidRPr="00A6277B">
        <w:rPr>
          <w:rFonts w:ascii="Book Antiqua" w:hAnsi="Book Antiqua"/>
          <w:sz w:val="24"/>
          <w:szCs w:val="24"/>
        </w:rPr>
        <w:t>cacat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A6277B">
        <w:rPr>
          <w:rFonts w:ascii="Book Antiqua" w:hAnsi="Book Antiqua"/>
          <w:sz w:val="24"/>
          <w:szCs w:val="24"/>
        </w:rPr>
        <w:t>Akad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dapat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terjadi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dengan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segala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cara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6277B">
        <w:rPr>
          <w:rFonts w:ascii="Book Antiqua" w:hAnsi="Book Antiqua"/>
          <w:sz w:val="24"/>
          <w:szCs w:val="24"/>
        </w:rPr>
        <w:t>bisa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menunjukkan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sz w:val="24"/>
          <w:szCs w:val="24"/>
        </w:rPr>
        <w:t>perizinan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A6277B">
        <w:rPr>
          <w:rFonts w:ascii="Book Antiqua" w:hAnsi="Book Antiqua"/>
          <w:i/>
          <w:sz w:val="24"/>
          <w:szCs w:val="24"/>
        </w:rPr>
        <w:t>ridha</w:t>
      </w:r>
      <w:proofErr w:type="spellEnd"/>
      <w:r w:rsidRPr="00A6277B">
        <w:rPr>
          <w:rFonts w:ascii="Book Antiqua" w:hAnsi="Book Antiqua"/>
          <w:sz w:val="24"/>
          <w:szCs w:val="24"/>
        </w:rPr>
        <w:t xml:space="preserve">) para </w:t>
      </w:r>
      <w:proofErr w:type="spellStart"/>
      <w:r w:rsidRPr="00A6277B">
        <w:rPr>
          <w:rFonts w:ascii="Book Antiqua" w:hAnsi="Book Antiqua"/>
          <w:sz w:val="24"/>
          <w:szCs w:val="24"/>
        </w:rPr>
        <w:t>pihak</w:t>
      </w:r>
      <w:proofErr w:type="spellEnd"/>
      <w:r w:rsidRPr="00A6277B">
        <w:rPr>
          <w:rFonts w:ascii="Book Antiqua" w:hAnsi="Book Antiqua"/>
          <w:sz w:val="24"/>
          <w:szCs w:val="24"/>
        </w:rPr>
        <w:t>.</w:t>
      </w:r>
    </w:p>
    <w:p w14:paraId="32C7B94D" w14:textId="77777777" w:rsidR="007E42E9" w:rsidRPr="00A6277B" w:rsidRDefault="007E42E9" w:rsidP="00A6277B">
      <w:pPr>
        <w:pStyle w:val="ListParagraph"/>
        <w:numPr>
          <w:ilvl w:val="0"/>
          <w:numId w:val="4"/>
        </w:numPr>
        <w:spacing w:after="0" w:line="360" w:lineRule="auto"/>
        <w:rPr>
          <w:rFonts w:ascii="Book Antiqua" w:hAnsi="Book Antiqua"/>
          <w:b/>
          <w:sz w:val="24"/>
          <w:szCs w:val="24"/>
        </w:rPr>
      </w:pPr>
      <w:proofErr w:type="spellStart"/>
      <w:r w:rsidRPr="00A6277B">
        <w:rPr>
          <w:rFonts w:ascii="Book Antiqua" w:hAnsi="Book Antiqua"/>
          <w:b/>
          <w:sz w:val="24"/>
          <w:szCs w:val="24"/>
        </w:rPr>
        <w:t>Pernyataan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b/>
          <w:sz w:val="24"/>
          <w:szCs w:val="24"/>
        </w:rPr>
        <w:t>Kehendak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b/>
          <w:sz w:val="24"/>
          <w:szCs w:val="24"/>
        </w:rPr>
        <w:t>secara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A6277B">
        <w:rPr>
          <w:rFonts w:ascii="Book Antiqua" w:hAnsi="Book Antiqua"/>
          <w:b/>
          <w:sz w:val="24"/>
          <w:szCs w:val="24"/>
        </w:rPr>
        <w:t>Diam-diam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 (</w:t>
      </w:r>
      <w:r w:rsidRPr="00A6277B">
        <w:rPr>
          <w:rFonts w:ascii="Book Antiqua" w:hAnsi="Book Antiqua"/>
          <w:b/>
          <w:i/>
          <w:sz w:val="24"/>
          <w:szCs w:val="24"/>
        </w:rPr>
        <w:t>at-</w:t>
      </w:r>
      <w:proofErr w:type="spellStart"/>
      <w:r w:rsidRPr="00A6277B">
        <w:rPr>
          <w:rFonts w:ascii="Book Antiqua" w:hAnsi="Book Antiqua"/>
          <w:b/>
          <w:i/>
          <w:sz w:val="24"/>
          <w:szCs w:val="24"/>
        </w:rPr>
        <w:t>Ta’ati</w:t>
      </w:r>
      <w:proofErr w:type="spellEnd"/>
      <w:r w:rsidRPr="00A6277B">
        <w:rPr>
          <w:rFonts w:ascii="Book Antiqua" w:hAnsi="Book Antiqua"/>
          <w:b/>
          <w:sz w:val="24"/>
          <w:szCs w:val="24"/>
        </w:rPr>
        <w:t xml:space="preserve">). </w:t>
      </w:r>
    </w:p>
    <w:p w14:paraId="331C9DFC" w14:textId="77777777" w:rsidR="007E42E9" w:rsidRPr="007E42E9" w:rsidRDefault="007E42E9" w:rsidP="00A6277B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7E42E9">
        <w:rPr>
          <w:rFonts w:ascii="Book Antiqua" w:hAnsi="Book Antiqua"/>
          <w:sz w:val="24"/>
          <w:szCs w:val="24"/>
        </w:rPr>
        <w:t>Seiring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perkembangan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kebutuhan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masyarakat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dapat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Pr="007E42E9">
        <w:rPr>
          <w:rFonts w:ascii="Book Antiqua" w:hAnsi="Book Antiqua"/>
          <w:sz w:val="24"/>
          <w:szCs w:val="24"/>
        </w:rPr>
        <w:t>dilakukan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perbuatan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langsung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tanpa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menggunakan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kata-kata, tulisan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isyarat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untuk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menyatakan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kehendaknya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Bentuknya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adanya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perbuatan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memberi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7E42E9">
        <w:rPr>
          <w:rFonts w:ascii="Book Antiqua" w:hAnsi="Book Antiqua"/>
          <w:sz w:val="24"/>
          <w:szCs w:val="24"/>
        </w:rPr>
        <w:t>menerima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dari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para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telah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memahami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perbuatan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perjanjian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tersebut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segala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akibat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hukumnya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Misalnya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jual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beli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terjadi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di supermarket </w:t>
      </w:r>
      <w:proofErr w:type="spellStart"/>
      <w:r w:rsidRPr="007E42E9">
        <w:rPr>
          <w:rFonts w:ascii="Book Antiqua" w:hAnsi="Book Antiqua"/>
          <w:sz w:val="24"/>
          <w:szCs w:val="24"/>
        </w:rPr>
        <w:t>misalnya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yang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proses </w:t>
      </w:r>
      <w:proofErr w:type="spellStart"/>
      <w:r w:rsidRPr="007E42E9">
        <w:rPr>
          <w:rFonts w:ascii="Book Antiqua" w:hAnsi="Book Antiqua"/>
          <w:sz w:val="24"/>
          <w:szCs w:val="24"/>
        </w:rPr>
        <w:t>tawar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menawar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pembeli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mengetahui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harga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barang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tertulis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dicantumkan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7E42E9">
        <w:rPr>
          <w:rFonts w:ascii="Book Antiqua" w:hAnsi="Book Antiqua"/>
          <w:sz w:val="24"/>
          <w:szCs w:val="24"/>
        </w:rPr>
        <w:lastRenderedPageBreak/>
        <w:t>barang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tersebut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Pada </w:t>
      </w:r>
      <w:proofErr w:type="spellStart"/>
      <w:r w:rsidRPr="007E42E9">
        <w:rPr>
          <w:rFonts w:ascii="Book Antiqua" w:hAnsi="Book Antiqua"/>
          <w:sz w:val="24"/>
          <w:szCs w:val="24"/>
        </w:rPr>
        <w:t>saat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pembeli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pergi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meja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kasir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sambil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memberikan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sejumlah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uang,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menunjukkan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bahwa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antara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mereka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memberikan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persetujuannya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masing-masing, </w:t>
      </w:r>
      <w:proofErr w:type="spellStart"/>
      <w:r w:rsidRPr="007E42E9">
        <w:rPr>
          <w:rFonts w:ascii="Book Antiqua" w:hAnsi="Book Antiqua"/>
          <w:sz w:val="24"/>
          <w:szCs w:val="24"/>
        </w:rPr>
        <w:t>sehingga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terjadi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</w:p>
    <w:p w14:paraId="492A8F4A" w14:textId="7BDEE671" w:rsidR="00A6277B" w:rsidRDefault="007E42E9" w:rsidP="00A6277B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r w:rsidRPr="007E42E9">
        <w:rPr>
          <w:rFonts w:ascii="Book Antiqua" w:hAnsi="Book Antiqua"/>
          <w:sz w:val="24"/>
          <w:szCs w:val="24"/>
        </w:rPr>
        <w:t xml:space="preserve">Fuqaha juga </w:t>
      </w:r>
      <w:proofErr w:type="spellStart"/>
      <w:r w:rsidRPr="007E42E9">
        <w:rPr>
          <w:rFonts w:ascii="Book Antiqua" w:hAnsi="Book Antiqua"/>
          <w:sz w:val="24"/>
          <w:szCs w:val="24"/>
        </w:rPr>
        <w:t>berbeda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pandangan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tentang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jenis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pernyataan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Kelom-pok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Hanafiah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menganggap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ta’ati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dalam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setiap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akadkebendaan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jika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hal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menjadi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kebiasaan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sebuah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masyarakat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tetapi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harga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barang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harus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diberitahukan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jelas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E42E9">
        <w:rPr>
          <w:rFonts w:ascii="Book Antiqua" w:hAnsi="Book Antiqua"/>
          <w:sz w:val="24"/>
          <w:szCs w:val="24"/>
        </w:rPr>
        <w:t>Menurut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Malikiyah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ta’ati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harus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disertai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dengan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indikasi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sangat </w:t>
      </w:r>
      <w:proofErr w:type="spellStart"/>
      <w:r w:rsidRPr="007E42E9">
        <w:rPr>
          <w:rFonts w:ascii="Book Antiqua" w:hAnsi="Book Antiqua"/>
          <w:sz w:val="24"/>
          <w:szCs w:val="24"/>
        </w:rPr>
        <w:t>jelas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7E42E9">
        <w:rPr>
          <w:rFonts w:ascii="Book Antiqua" w:hAnsi="Book Antiqua"/>
          <w:sz w:val="24"/>
          <w:szCs w:val="24"/>
        </w:rPr>
        <w:t>menunjukkan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kerelaan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masing-masing </w:t>
      </w:r>
      <w:proofErr w:type="spellStart"/>
      <w:r w:rsidRPr="007E42E9">
        <w:rPr>
          <w:rFonts w:ascii="Book Antiqua" w:hAnsi="Book Antiqua"/>
          <w:sz w:val="24"/>
          <w:szCs w:val="24"/>
        </w:rPr>
        <w:t>pihak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baik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telah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menjadi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adat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atau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. Sedang </w:t>
      </w:r>
      <w:proofErr w:type="spellStart"/>
      <w:r w:rsidRPr="007E42E9">
        <w:rPr>
          <w:rFonts w:ascii="Book Antiqua" w:hAnsi="Book Antiqua"/>
          <w:sz w:val="24"/>
          <w:szCs w:val="24"/>
        </w:rPr>
        <w:t>menurut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Syafi’iyyah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E42E9">
        <w:rPr>
          <w:rFonts w:ascii="Book Antiqua" w:hAnsi="Book Antiqua"/>
          <w:sz w:val="24"/>
          <w:szCs w:val="24"/>
        </w:rPr>
        <w:t>akad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tidak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bisa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dilaksanakan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sz w:val="24"/>
          <w:szCs w:val="24"/>
        </w:rPr>
        <w:t>secara</w:t>
      </w:r>
      <w:proofErr w:type="spellEnd"/>
      <w:r w:rsidRPr="007E42E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E42E9">
        <w:rPr>
          <w:rFonts w:ascii="Book Antiqua" w:hAnsi="Book Antiqua"/>
          <w:i/>
          <w:sz w:val="24"/>
          <w:szCs w:val="24"/>
        </w:rPr>
        <w:t>ta’ati</w:t>
      </w:r>
      <w:proofErr w:type="spellEnd"/>
      <w:r w:rsidRPr="007E42E9">
        <w:rPr>
          <w:rFonts w:ascii="Book Antiqua" w:hAnsi="Book Antiqua"/>
          <w:sz w:val="24"/>
          <w:szCs w:val="24"/>
        </w:rPr>
        <w:t>.</w:t>
      </w:r>
    </w:p>
    <w:p w14:paraId="6044A2A4" w14:textId="75092BB6" w:rsidR="007E42E9" w:rsidRPr="00044C88" w:rsidRDefault="00044C88" w:rsidP="00044C88">
      <w:pPr>
        <w:spacing w:after="0" w:line="360" w:lineRule="auto"/>
        <w:ind w:left="72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044C88">
        <w:rPr>
          <w:rFonts w:ascii="Book Antiqua" w:hAnsi="Book Antiqua"/>
          <w:b/>
          <w:sz w:val="24"/>
          <w:szCs w:val="24"/>
        </w:rPr>
        <w:t>Definisi</w:t>
      </w:r>
      <w:proofErr w:type="spellEnd"/>
      <w:r w:rsidRPr="00044C88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E42E9" w:rsidRPr="00044C88">
        <w:rPr>
          <w:rFonts w:ascii="Book Antiqua" w:hAnsi="Book Antiqua"/>
          <w:b/>
          <w:sz w:val="24"/>
          <w:szCs w:val="24"/>
        </w:rPr>
        <w:t>Majelis</w:t>
      </w:r>
      <w:proofErr w:type="spellEnd"/>
    </w:p>
    <w:p w14:paraId="31CD715E" w14:textId="77777777" w:rsidR="00044C88" w:rsidRPr="00044C88" w:rsidRDefault="007E42E9" w:rsidP="00044C88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r w:rsidRPr="00044C88">
        <w:rPr>
          <w:rFonts w:ascii="Book Antiqua" w:hAnsi="Book Antiqua"/>
          <w:sz w:val="24"/>
          <w:szCs w:val="24"/>
        </w:rPr>
        <w:t xml:space="preserve">Para fuqaha </w:t>
      </w:r>
      <w:proofErr w:type="spellStart"/>
      <w:r w:rsidRPr="00044C88">
        <w:rPr>
          <w:rFonts w:ascii="Book Antiqua" w:hAnsi="Book Antiqua"/>
          <w:sz w:val="24"/>
          <w:szCs w:val="24"/>
        </w:rPr>
        <w:t>menyatakan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bahwa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salah </w:t>
      </w:r>
      <w:proofErr w:type="spellStart"/>
      <w:r w:rsidRPr="00044C88">
        <w:rPr>
          <w:rFonts w:ascii="Book Antiqua" w:hAnsi="Book Antiqua"/>
          <w:sz w:val="24"/>
          <w:szCs w:val="24"/>
        </w:rPr>
        <w:t>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syarat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harus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dilaksanakan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Tempat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waktu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di mana </w:t>
      </w:r>
      <w:proofErr w:type="spellStart"/>
      <w:r w:rsidRPr="00044C88">
        <w:rPr>
          <w:rFonts w:ascii="Book Antiqua" w:hAnsi="Book Antiqua"/>
          <w:sz w:val="24"/>
          <w:szCs w:val="24"/>
        </w:rPr>
        <w:t>kedua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berada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044C88">
        <w:rPr>
          <w:rFonts w:ascii="Book Antiqua" w:hAnsi="Book Antiqua"/>
          <w:sz w:val="24"/>
          <w:szCs w:val="24"/>
        </w:rPr>
        <w:t>saat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negosiasi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dimulai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diajukannya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ijab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berlangsung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selama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mereka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tetap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fokus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044C88">
        <w:rPr>
          <w:rFonts w:ascii="Book Antiqua" w:hAnsi="Book Antiqua"/>
          <w:sz w:val="24"/>
          <w:szCs w:val="24"/>
        </w:rPr>
        <w:t>masalah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perundingan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perjanjian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serta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berakhir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berpalingnya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mereka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negosiasi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tersebut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inilah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disebut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Teori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ini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secara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umum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dimaksudkan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untuk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menentukan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kapan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di mana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terjadi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secara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khusus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untuk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menentukan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kapan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qabul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dapat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diberikan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untuk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memberikan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kesempatan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kepada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kedua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guna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mempertimbangkan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Sebagai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konsekwensi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teori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ini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lahirnya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khiyar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qabul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khiyar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penarikan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khiyar</w:t>
      </w:r>
      <w:proofErr w:type="spellEnd"/>
      <w:r w:rsidRPr="00044C88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ar-ruju</w:t>
      </w:r>
      <w:proofErr w:type="spellEnd"/>
      <w:r w:rsidRPr="00044C88">
        <w:rPr>
          <w:rFonts w:ascii="Book Antiqua" w:hAnsi="Book Antiqua"/>
          <w:i/>
          <w:sz w:val="24"/>
          <w:szCs w:val="24"/>
        </w:rPr>
        <w:t>’</w:t>
      </w:r>
      <w:r w:rsidRPr="00044C88">
        <w:rPr>
          <w:rFonts w:ascii="Book Antiqua" w:hAnsi="Book Antiqua"/>
          <w:sz w:val="24"/>
          <w:szCs w:val="24"/>
        </w:rPr>
        <w:t xml:space="preserve">) dan </w:t>
      </w:r>
      <w:proofErr w:type="spellStart"/>
      <w:r w:rsidRPr="00044C88">
        <w:rPr>
          <w:rFonts w:ascii="Book Antiqua" w:hAnsi="Book Antiqua"/>
          <w:sz w:val="24"/>
          <w:szCs w:val="24"/>
        </w:rPr>
        <w:t>khiyar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khiyar</w:t>
      </w:r>
      <w:proofErr w:type="spellEnd"/>
      <w:r w:rsidRPr="00044C88">
        <w:rPr>
          <w:rFonts w:ascii="Book Antiqua" w:hAnsi="Book Antiqua"/>
          <w:i/>
          <w:sz w:val="24"/>
          <w:szCs w:val="24"/>
        </w:rPr>
        <w:t xml:space="preserve"> al-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>).</w:t>
      </w:r>
    </w:p>
    <w:p w14:paraId="506A5775" w14:textId="77777777" w:rsidR="00044C88" w:rsidRPr="00044C88" w:rsidRDefault="007E42E9" w:rsidP="00044C88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seharusnya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tidak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dipahami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secara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kaku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batasan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dimensi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ruang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waktu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Sebaliknya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konsep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perlu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dikembangkan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sejalan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perkembangan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kemajuan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media </w:t>
      </w:r>
      <w:proofErr w:type="spellStart"/>
      <w:r w:rsidRPr="00044C88">
        <w:rPr>
          <w:rFonts w:ascii="Book Antiqua" w:hAnsi="Book Antiqua"/>
          <w:sz w:val="24"/>
          <w:szCs w:val="24"/>
        </w:rPr>
        <w:t>bisnis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hal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ini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menjadi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tidak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artinya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jika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para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secara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fisik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tetapi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tidak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terjadi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kesesuaian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gagasan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bertransaksi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jika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dibandingkan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lastRenderedPageBreak/>
        <w:t>transaski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dilakukan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keadaan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berjauhan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tetapi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atau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kesepakatan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transaksi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antara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kedua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secara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substantif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tercapai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</w:p>
    <w:p w14:paraId="3DD452D6" w14:textId="0E77E31B" w:rsidR="00286914" w:rsidRDefault="007E42E9" w:rsidP="00044C88">
      <w:pPr>
        <w:pStyle w:val="ListParagraph"/>
        <w:spacing w:after="0" w:line="360" w:lineRule="auto"/>
        <w:ind w:left="1440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tidaklah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dimaksudkan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tempat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waktu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karena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hal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ini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sulit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diterapkan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realitas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kehidupan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kontemporer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di mana </w:t>
      </w:r>
      <w:proofErr w:type="spellStart"/>
      <w:r w:rsidRPr="00044C88">
        <w:rPr>
          <w:rFonts w:ascii="Book Antiqua" w:hAnsi="Book Antiqua"/>
          <w:sz w:val="24"/>
          <w:szCs w:val="24"/>
        </w:rPr>
        <w:t>transaksi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bisa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saja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terjadi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melalui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alat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komunikasi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menempatkan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para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tidak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tempat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Akan </w:t>
      </w:r>
      <w:proofErr w:type="spellStart"/>
      <w:r w:rsidRPr="00044C88">
        <w:rPr>
          <w:rFonts w:ascii="Book Antiqua" w:hAnsi="Book Antiqua"/>
          <w:sz w:val="24"/>
          <w:szCs w:val="24"/>
        </w:rPr>
        <w:t>tetapi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dimaksudkan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waktu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bukan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kesatuan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tempat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secara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fisik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di mana para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berakad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masih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fokus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pada </w:t>
      </w:r>
      <w:proofErr w:type="spellStart"/>
      <w:r w:rsidRPr="00044C88">
        <w:rPr>
          <w:rFonts w:ascii="Book Antiqua" w:hAnsi="Book Antiqua"/>
          <w:sz w:val="24"/>
          <w:szCs w:val="24"/>
        </w:rPr>
        <w:t>perjanjian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dibuat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Ketika salah </w:t>
      </w:r>
      <w:proofErr w:type="spellStart"/>
      <w:r w:rsidRPr="00044C88">
        <w:rPr>
          <w:rFonts w:ascii="Book Antiqua" w:hAnsi="Book Antiqua"/>
          <w:sz w:val="24"/>
          <w:szCs w:val="24"/>
        </w:rPr>
        <w:t>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sudah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pindah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perhatian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maka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dianggap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berakhir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demikian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maka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ijab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melalui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telepon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atau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alat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komunikasi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sejak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dibuatnya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ijab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melalui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telepon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atau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dikirimkannya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surat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sampai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jawaban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lawan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Ijab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dianggap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berakhir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ketika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pembicaraan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dialihkan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kepada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soal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lain </w:t>
      </w:r>
      <w:proofErr w:type="spellStart"/>
      <w:r w:rsidRPr="00044C88">
        <w:rPr>
          <w:rFonts w:ascii="Book Antiqua" w:hAnsi="Book Antiqua"/>
          <w:sz w:val="24"/>
          <w:szCs w:val="24"/>
        </w:rPr>
        <w:t>sebelum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qabul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dinyatakan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. Hasil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penelitian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ini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menunjukkan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bahwa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ittihad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al-majlis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dalam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akad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nikah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memiliki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beberapa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arti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menurut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pandangan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ulama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empat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madzhab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sebagian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berpendapat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bahwa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ittihad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al-majlis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tidak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harus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bersatu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dalam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satu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tempat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melainkan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ijab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kabulnya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lah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berada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dalam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satu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tempat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artinya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orang yang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akan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melakukan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ijab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kabul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tidak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harus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berada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satu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tempat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begitu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juga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dengan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86914" w:rsidRPr="00044C88">
        <w:rPr>
          <w:rFonts w:ascii="Book Antiqua" w:hAnsi="Book Antiqua"/>
          <w:sz w:val="24"/>
          <w:szCs w:val="24"/>
        </w:rPr>
        <w:t>saksi-saksinya</w:t>
      </w:r>
      <w:proofErr w:type="spellEnd"/>
      <w:r w:rsidR="00286914" w:rsidRPr="00044C88">
        <w:rPr>
          <w:rFonts w:ascii="Book Antiqua" w:hAnsi="Book Antiqua"/>
          <w:sz w:val="24"/>
          <w:szCs w:val="24"/>
        </w:rPr>
        <w:t>.</w:t>
      </w:r>
    </w:p>
    <w:p w14:paraId="28502BF2" w14:textId="6E1568D7" w:rsidR="00044C88" w:rsidRDefault="00044C88" w:rsidP="00044C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044C88">
        <w:rPr>
          <w:rFonts w:ascii="Book Antiqua" w:hAnsi="Book Antiqua"/>
          <w:b/>
          <w:bCs/>
          <w:sz w:val="24"/>
          <w:szCs w:val="24"/>
        </w:rPr>
        <w:t>KESIMPULAN</w:t>
      </w:r>
    </w:p>
    <w:p w14:paraId="3737C886" w14:textId="77777777" w:rsidR="00044C88" w:rsidRDefault="00044C88" w:rsidP="00044C88">
      <w:pPr>
        <w:pStyle w:val="ListParagraph"/>
        <w:spacing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merupakan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bagian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fikih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mu’amalah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yang </w:t>
      </w:r>
      <w:proofErr w:type="spellStart"/>
      <w:r w:rsidRPr="00044C88">
        <w:rPr>
          <w:rFonts w:ascii="Book Antiqua" w:hAnsi="Book Antiqua"/>
          <w:sz w:val="24"/>
          <w:szCs w:val="24"/>
        </w:rPr>
        <w:t>berarti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bahwa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ikatan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antara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dua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pihak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untuk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mendapatkan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suatu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perbuatan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hukum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syara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’ </w:t>
      </w:r>
      <w:proofErr w:type="spellStart"/>
      <w:r w:rsidRPr="00044C88">
        <w:rPr>
          <w:rFonts w:ascii="Book Antiqua" w:hAnsi="Book Antiqua"/>
          <w:sz w:val="24"/>
          <w:szCs w:val="24"/>
        </w:rPr>
        <w:t>tertentu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berlaku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serta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berakibat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hukum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Ada </w:t>
      </w:r>
      <w:proofErr w:type="spellStart"/>
      <w:r w:rsidRPr="00044C88">
        <w:rPr>
          <w:rFonts w:ascii="Book Antiqua" w:hAnsi="Book Antiqua"/>
          <w:sz w:val="24"/>
          <w:szCs w:val="24"/>
        </w:rPr>
        <w:t>tiga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istilah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lain </w:t>
      </w:r>
      <w:proofErr w:type="spellStart"/>
      <w:r w:rsidRPr="00044C88">
        <w:rPr>
          <w:rFonts w:ascii="Book Antiqua" w:hAnsi="Book Antiqua"/>
          <w:sz w:val="24"/>
          <w:szCs w:val="24"/>
        </w:rPr>
        <w:t>tentang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yaitu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044C88">
        <w:rPr>
          <w:rFonts w:ascii="Book Antiqua" w:hAnsi="Book Antiqua"/>
          <w:sz w:val="24"/>
          <w:szCs w:val="24"/>
        </w:rPr>
        <w:t>perjanjian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perikatan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Pr="00044C88">
        <w:rPr>
          <w:rFonts w:ascii="Book Antiqua" w:hAnsi="Book Antiqua"/>
          <w:sz w:val="24"/>
          <w:szCs w:val="24"/>
        </w:rPr>
        <w:t>kontrak.</w:t>
      </w:r>
      <w:proofErr w:type="spellEnd"/>
    </w:p>
    <w:p w14:paraId="139DF367" w14:textId="77777777" w:rsidR="00044C88" w:rsidRDefault="00044C88" w:rsidP="00044C88">
      <w:pPr>
        <w:pStyle w:val="ListParagraph"/>
        <w:spacing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044C88">
        <w:rPr>
          <w:rFonts w:ascii="Book Antiqua" w:hAnsi="Book Antiqua"/>
          <w:sz w:val="24"/>
          <w:szCs w:val="24"/>
        </w:rPr>
        <w:t>Ekonomi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Islam </w:t>
      </w:r>
      <w:proofErr w:type="spellStart"/>
      <w:r w:rsidRPr="00044C88">
        <w:rPr>
          <w:rFonts w:ascii="Book Antiqua" w:hAnsi="Book Antiqua"/>
          <w:sz w:val="24"/>
          <w:szCs w:val="24"/>
        </w:rPr>
        <w:t>merupakan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suatu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usaha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dilaksanakan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sesuai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prinsip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syari’ah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memiliki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asas-asas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tersendiri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seperti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asas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suka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sama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suka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asas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keadilan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asas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saling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menguntungkan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dan </w:t>
      </w:r>
      <w:proofErr w:type="spellStart"/>
      <w:r w:rsidRPr="00044C88">
        <w:rPr>
          <w:rFonts w:ascii="Book Antiqua" w:hAnsi="Book Antiqua"/>
          <w:sz w:val="24"/>
          <w:szCs w:val="24"/>
        </w:rPr>
        <w:t>asas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tolong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menolong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serta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asas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kemaslahatan</w:t>
      </w:r>
      <w:proofErr w:type="spellEnd"/>
      <w:r w:rsidRPr="00044C88">
        <w:rPr>
          <w:rFonts w:ascii="Book Antiqua" w:hAnsi="Book Antiqua"/>
          <w:sz w:val="24"/>
          <w:szCs w:val="24"/>
        </w:rPr>
        <w:t>.</w:t>
      </w:r>
    </w:p>
    <w:p w14:paraId="5176E4D0" w14:textId="708CA529" w:rsidR="00044C88" w:rsidRPr="00044C88" w:rsidRDefault="00044C88" w:rsidP="00044C88">
      <w:pPr>
        <w:pStyle w:val="ListParagraph"/>
        <w:spacing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044C88">
        <w:rPr>
          <w:rFonts w:ascii="Book Antiqua" w:hAnsi="Book Antiqua"/>
          <w:sz w:val="24"/>
          <w:szCs w:val="24"/>
        </w:rPr>
        <w:lastRenderedPageBreak/>
        <w:t>Hubungan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antara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lainnya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bidang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ekonomi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Islam </w:t>
      </w:r>
      <w:proofErr w:type="spellStart"/>
      <w:r w:rsidRPr="00044C88">
        <w:rPr>
          <w:rFonts w:ascii="Book Antiqua" w:hAnsi="Book Antiqua"/>
          <w:sz w:val="24"/>
          <w:szCs w:val="24"/>
        </w:rPr>
        <w:t>kegiatan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ekonomi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erat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kaitannya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044C88">
        <w:rPr>
          <w:rFonts w:ascii="Book Antiqua" w:hAnsi="Book Antiqua"/>
          <w:sz w:val="24"/>
          <w:szCs w:val="24"/>
        </w:rPr>
        <w:t>Ijab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kabul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merupakan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esensi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yaitu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kehendak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penawaran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pelaku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ijab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kehendak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penerimaan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penerima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kabul</w:t>
      </w:r>
      <w:proofErr w:type="spellEnd"/>
      <w:r w:rsidRPr="00044C88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Ijab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kabul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dikatakan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sebagai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shighat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perbedaan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pendapat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mengenai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bentuk-bentuk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shighat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hal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umum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terjadi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seiring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berkembangnya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zaman. Jika pada masa </w:t>
      </w:r>
      <w:proofErr w:type="spellStart"/>
      <w:r w:rsidRPr="00044C88">
        <w:rPr>
          <w:rFonts w:ascii="Book Antiqua" w:hAnsi="Book Antiqua"/>
          <w:sz w:val="24"/>
          <w:szCs w:val="24"/>
        </w:rPr>
        <w:t>klasik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shighat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selalu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dikaitkan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dengan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bentuk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ucapan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44C88">
        <w:rPr>
          <w:rFonts w:ascii="Book Antiqua" w:hAnsi="Book Antiqua"/>
          <w:sz w:val="24"/>
          <w:szCs w:val="24"/>
        </w:rPr>
        <w:t>maka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pada masa </w:t>
      </w:r>
      <w:proofErr w:type="spellStart"/>
      <w:r w:rsidRPr="00044C88">
        <w:rPr>
          <w:rFonts w:ascii="Book Antiqua" w:hAnsi="Book Antiqua"/>
          <w:sz w:val="24"/>
          <w:szCs w:val="24"/>
        </w:rPr>
        <w:t>kontemporer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shighat</w:t>
      </w:r>
      <w:proofErr w:type="spellEnd"/>
      <w:r w:rsidRPr="00044C88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menjadi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bermacam-macam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bentuknya</w:t>
      </w:r>
      <w:proofErr w:type="spellEnd"/>
      <w:r w:rsidRPr="00044C88">
        <w:rPr>
          <w:rFonts w:ascii="Book Antiqua" w:hAnsi="Book Antiqua"/>
          <w:sz w:val="24"/>
          <w:szCs w:val="24"/>
        </w:rPr>
        <w:t>.</w:t>
      </w:r>
      <w:r w:rsidRPr="00044C88">
        <w:rPr>
          <w:rFonts w:ascii="Book Antiqua" w:hAnsi="Book Antiqua"/>
          <w:sz w:val="24"/>
          <w:szCs w:val="24"/>
        </w:rPr>
        <w:t xml:space="preserve"> </w:t>
      </w:r>
      <w:r w:rsidRPr="00044C88">
        <w:rPr>
          <w:rFonts w:ascii="Book Antiqua" w:hAnsi="Book Antiqua"/>
          <w:sz w:val="24"/>
          <w:szCs w:val="24"/>
        </w:rPr>
        <w:t xml:space="preserve">Salah </w:t>
      </w:r>
      <w:proofErr w:type="spellStart"/>
      <w:r w:rsidRPr="00044C88">
        <w:rPr>
          <w:rFonts w:ascii="Book Antiqua" w:hAnsi="Book Antiqua"/>
          <w:sz w:val="24"/>
          <w:szCs w:val="24"/>
        </w:rPr>
        <w:t>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syarat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i/>
          <w:sz w:val="24"/>
          <w:szCs w:val="24"/>
        </w:rPr>
        <w:t>shighat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dilakukan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. Satu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apabila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dilihat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dari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kacamata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klasik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adalah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bertemunya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dua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orang yang </w:t>
      </w:r>
      <w:proofErr w:type="spellStart"/>
      <w:r w:rsidRPr="00044C88">
        <w:rPr>
          <w:rFonts w:ascii="Book Antiqua" w:hAnsi="Book Antiqua"/>
          <w:sz w:val="24"/>
          <w:szCs w:val="24"/>
        </w:rPr>
        <w:t>melakukan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akad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ruang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044C88">
        <w:rPr>
          <w:rFonts w:ascii="Book Antiqua" w:hAnsi="Book Antiqua"/>
          <w:sz w:val="24"/>
          <w:szCs w:val="24"/>
        </w:rPr>
        <w:t>waktu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44C88">
        <w:rPr>
          <w:rFonts w:ascii="Book Antiqua" w:hAnsi="Book Antiqua"/>
          <w:sz w:val="24"/>
          <w:szCs w:val="24"/>
        </w:rPr>
        <w:t>sama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atau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tatap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muka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(</w:t>
      </w:r>
      <w:r w:rsidRPr="00044C88">
        <w:rPr>
          <w:rFonts w:ascii="Book Antiqua" w:hAnsi="Book Antiqua"/>
          <w:i/>
          <w:sz w:val="24"/>
          <w:szCs w:val="24"/>
        </w:rPr>
        <w:t>face to face</w:t>
      </w:r>
      <w:r w:rsidRPr="00044C88">
        <w:rPr>
          <w:rFonts w:ascii="Book Antiqua" w:hAnsi="Book Antiqua"/>
          <w:sz w:val="24"/>
          <w:szCs w:val="24"/>
        </w:rPr>
        <w:t xml:space="preserve">), </w:t>
      </w:r>
      <w:proofErr w:type="spellStart"/>
      <w:r w:rsidRPr="00044C88">
        <w:rPr>
          <w:rFonts w:ascii="Book Antiqua" w:hAnsi="Book Antiqua"/>
          <w:sz w:val="24"/>
          <w:szCs w:val="24"/>
        </w:rPr>
        <w:t>perkembangan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zaman yang </w:t>
      </w:r>
      <w:proofErr w:type="spellStart"/>
      <w:r w:rsidRPr="00044C88">
        <w:rPr>
          <w:rFonts w:ascii="Book Antiqua" w:hAnsi="Book Antiqua"/>
          <w:sz w:val="24"/>
          <w:szCs w:val="24"/>
        </w:rPr>
        <w:t>membuat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setiap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aktifitas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manusia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semakin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praktis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memandang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majelis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tidak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harus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selalu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dalam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satu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ruang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tatap</w:t>
      </w:r>
      <w:proofErr w:type="spellEnd"/>
      <w:r w:rsidRPr="00044C8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44C88">
        <w:rPr>
          <w:rFonts w:ascii="Book Antiqua" w:hAnsi="Book Antiqua"/>
          <w:sz w:val="24"/>
          <w:szCs w:val="24"/>
        </w:rPr>
        <w:t>muka</w:t>
      </w:r>
      <w:proofErr w:type="spellEnd"/>
      <w:r w:rsidRPr="00044C88">
        <w:rPr>
          <w:rFonts w:ascii="Book Antiqua" w:hAnsi="Book Antiqua"/>
          <w:sz w:val="24"/>
          <w:szCs w:val="24"/>
        </w:rPr>
        <w:t>.</w:t>
      </w:r>
    </w:p>
    <w:p w14:paraId="7DDC0CD3" w14:textId="77777777" w:rsidR="00044C88" w:rsidRPr="00044C88" w:rsidRDefault="00044C88" w:rsidP="00044C88">
      <w:pPr>
        <w:pStyle w:val="ListParagraph"/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207DBC54" w14:textId="5D7434E4" w:rsidR="00286914" w:rsidRDefault="00286914" w:rsidP="00044C88">
      <w:pPr>
        <w:pStyle w:val="ListParagraph"/>
        <w:spacing w:line="360" w:lineRule="auto"/>
        <w:ind w:left="426" w:firstLine="567"/>
        <w:jc w:val="center"/>
        <w:rPr>
          <w:rFonts w:ascii="Book Antiqua" w:hAnsi="Book Antiqua"/>
          <w:b/>
          <w:bCs/>
          <w:sz w:val="24"/>
          <w:szCs w:val="24"/>
        </w:rPr>
      </w:pPr>
      <w:r w:rsidRPr="00044C88">
        <w:rPr>
          <w:rFonts w:ascii="Book Antiqua" w:hAnsi="Book Antiqua"/>
          <w:b/>
          <w:bCs/>
          <w:sz w:val="24"/>
          <w:szCs w:val="24"/>
        </w:rPr>
        <w:t>DAFTAR PUSTAKA</w:t>
      </w:r>
    </w:p>
    <w:p w14:paraId="4E1DEA9D" w14:textId="134B1D1E" w:rsidR="00044C88" w:rsidRPr="00044C88" w:rsidRDefault="00044C88" w:rsidP="00044C88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proofErr w:type="spellStart"/>
      <w:r>
        <w:rPr>
          <w:rFonts w:ascii="Book Antiqua" w:hAnsi="Book Antiqua"/>
          <w:b/>
          <w:bCs/>
          <w:sz w:val="24"/>
          <w:szCs w:val="24"/>
        </w:rPr>
        <w:t>Buku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2A6FF5DB" w14:textId="77777777" w:rsidR="00044C88" w:rsidRPr="00D53751" w:rsidRDefault="00044C88" w:rsidP="00D53751">
      <w:pPr>
        <w:pStyle w:val="FootnoteText"/>
        <w:tabs>
          <w:tab w:val="left" w:pos="2410"/>
        </w:tabs>
        <w:spacing w:before="240"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 xml:space="preserve">Afdawaiza. 2008. </w:t>
      </w:r>
      <w:r w:rsidRPr="00D53751">
        <w:rPr>
          <w:rFonts w:ascii="Book Antiqua" w:hAnsi="Book Antiqua"/>
          <w:i/>
          <w:sz w:val="24"/>
          <w:szCs w:val="24"/>
        </w:rPr>
        <w:t>Terbentuknya Akad dalam Hukum Perjanjian Islam.</w:t>
      </w:r>
      <w:r w:rsidRPr="00D53751">
        <w:rPr>
          <w:rFonts w:ascii="Book Antiqua" w:hAnsi="Book Antiqua"/>
          <w:sz w:val="24"/>
          <w:szCs w:val="24"/>
        </w:rPr>
        <w:t xml:space="preserve"> Yogyakarta: Al-Mawarid Edisi XVIII.</w:t>
      </w:r>
    </w:p>
    <w:p w14:paraId="24379822" w14:textId="5253A13C" w:rsidR="00044C88" w:rsidRPr="00D53751" w:rsidRDefault="00044C88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 xml:space="preserve">Anwar, Syamsul. 2007. </w:t>
      </w:r>
      <w:r w:rsidRPr="00D53751">
        <w:rPr>
          <w:rFonts w:ascii="Book Antiqua" w:hAnsi="Book Antiqua"/>
          <w:i/>
          <w:sz w:val="24"/>
          <w:szCs w:val="24"/>
        </w:rPr>
        <w:t xml:space="preserve">Hukum Perjanjian Syariah. </w:t>
      </w:r>
      <w:r w:rsidRPr="00D53751">
        <w:rPr>
          <w:rFonts w:ascii="Book Antiqua" w:hAnsi="Book Antiqua"/>
          <w:sz w:val="24"/>
          <w:szCs w:val="24"/>
        </w:rPr>
        <w:t>Jakarta: PT Raja Grafindo Persada.</w:t>
      </w:r>
    </w:p>
    <w:p w14:paraId="6D5D4E44" w14:textId="29D1E9DE" w:rsidR="005915E1" w:rsidRPr="00D53751" w:rsidRDefault="005915E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  <w:lang w:val="en-US"/>
        </w:rPr>
      </w:pPr>
      <w:r w:rsidRPr="00D53751">
        <w:rPr>
          <w:rFonts w:ascii="Book Antiqua" w:hAnsi="Book Antiqua"/>
          <w:sz w:val="24"/>
          <w:szCs w:val="24"/>
        </w:rPr>
        <w:t xml:space="preserve">Anshori, </w:t>
      </w:r>
      <w:r w:rsidRPr="00D53751">
        <w:rPr>
          <w:rFonts w:ascii="Book Antiqua" w:hAnsi="Book Antiqua"/>
          <w:sz w:val="24"/>
          <w:szCs w:val="24"/>
          <w:lang w:val="en-US"/>
        </w:rPr>
        <w:t>2008.</w:t>
      </w:r>
      <w:r w:rsidRPr="00D53751">
        <w:rPr>
          <w:rFonts w:ascii="Book Antiqua" w:hAnsi="Book Antiqua"/>
          <w:sz w:val="24"/>
          <w:szCs w:val="24"/>
        </w:rPr>
        <w:t xml:space="preserve">Abdul Ghofur. </w:t>
      </w:r>
      <w:r w:rsidRPr="00D53751">
        <w:rPr>
          <w:rFonts w:ascii="Book Antiqua" w:hAnsi="Book Antiqua"/>
          <w:i/>
          <w:iCs/>
          <w:sz w:val="24"/>
          <w:szCs w:val="24"/>
        </w:rPr>
        <w:t>Hukum Islam Dinamika dan Perkembangannya di Indonesia,</w:t>
      </w:r>
      <w:r w:rsidRPr="00D53751">
        <w:rPr>
          <w:rFonts w:ascii="Book Antiqua" w:hAnsi="Book Antiqua"/>
          <w:sz w:val="24"/>
          <w:szCs w:val="24"/>
        </w:rPr>
        <w:t xml:space="preserve"> Cet.I; Yogyakarta: Kreasi Total Media</w:t>
      </w:r>
      <w:r w:rsidRPr="00D53751">
        <w:rPr>
          <w:rFonts w:ascii="Book Antiqua" w:hAnsi="Book Antiqua"/>
          <w:sz w:val="24"/>
          <w:szCs w:val="24"/>
          <w:lang w:val="en-US"/>
        </w:rPr>
        <w:t>.</w:t>
      </w:r>
    </w:p>
    <w:p w14:paraId="0E6FCCC2" w14:textId="52443959" w:rsidR="005915E1" w:rsidRPr="00D53751" w:rsidRDefault="005915E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  <w:lang w:val="en-US"/>
        </w:rPr>
      </w:pPr>
      <w:r w:rsidRPr="00D53751">
        <w:rPr>
          <w:rFonts w:ascii="Book Antiqua" w:hAnsi="Book Antiqua"/>
          <w:sz w:val="24"/>
          <w:szCs w:val="24"/>
        </w:rPr>
        <w:t>Anshori,Abdul Ghofur.</w:t>
      </w:r>
      <w:r w:rsidRPr="00D53751">
        <w:rPr>
          <w:rFonts w:ascii="Book Antiqua" w:hAnsi="Book Antiqua"/>
          <w:sz w:val="24"/>
          <w:szCs w:val="24"/>
          <w:lang w:val="en-US"/>
        </w:rPr>
        <w:t>2007.</w:t>
      </w:r>
      <w:r w:rsidRPr="00D53751">
        <w:rPr>
          <w:rFonts w:ascii="Book Antiqua" w:hAnsi="Book Antiqua"/>
          <w:i/>
          <w:iCs/>
          <w:sz w:val="24"/>
          <w:szCs w:val="24"/>
        </w:rPr>
        <w:t>Payung Hukum Perbankan Syari’ah,</w:t>
      </w:r>
      <w:r w:rsidRPr="00D53751">
        <w:rPr>
          <w:rFonts w:ascii="Book Antiqua" w:hAnsi="Book Antiqua"/>
          <w:sz w:val="24"/>
          <w:szCs w:val="24"/>
        </w:rPr>
        <w:t xml:space="preserve"> Cet. I; Yogyakarta: Anggota IKAPI</w:t>
      </w:r>
      <w:r w:rsidRPr="00D53751">
        <w:rPr>
          <w:rFonts w:ascii="Book Antiqua" w:hAnsi="Book Antiqua"/>
          <w:sz w:val="24"/>
          <w:szCs w:val="24"/>
          <w:lang w:val="en-US"/>
        </w:rPr>
        <w:t>.</w:t>
      </w:r>
    </w:p>
    <w:p w14:paraId="7505A8BC" w14:textId="6901E9F1" w:rsidR="005915E1" w:rsidRPr="00D53751" w:rsidRDefault="005915E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  <w:lang w:val="en-US"/>
        </w:rPr>
      </w:pPr>
      <w:r w:rsidRPr="00D53751">
        <w:rPr>
          <w:rFonts w:ascii="Book Antiqua" w:hAnsi="Book Antiqua"/>
          <w:sz w:val="24"/>
          <w:szCs w:val="24"/>
        </w:rPr>
        <w:t>Antonio, Muhammad Syafi’i.</w:t>
      </w:r>
      <w:r w:rsidRPr="00D53751">
        <w:rPr>
          <w:rFonts w:ascii="Book Antiqua" w:hAnsi="Book Antiqua"/>
          <w:sz w:val="24"/>
          <w:szCs w:val="24"/>
          <w:lang w:val="en-US"/>
        </w:rPr>
        <w:t>2007.</w:t>
      </w:r>
      <w:r w:rsidRPr="00D53751">
        <w:rPr>
          <w:rFonts w:ascii="Book Antiqua" w:hAnsi="Book Antiqua"/>
          <w:sz w:val="24"/>
          <w:szCs w:val="24"/>
        </w:rPr>
        <w:t xml:space="preserve"> </w:t>
      </w:r>
      <w:r w:rsidRPr="00D53751">
        <w:rPr>
          <w:rFonts w:ascii="Book Antiqua" w:hAnsi="Book Antiqua"/>
          <w:i/>
          <w:iCs/>
          <w:sz w:val="24"/>
          <w:szCs w:val="24"/>
        </w:rPr>
        <w:t xml:space="preserve">Bank Syari’ah dan Teori dan Praktik, </w:t>
      </w:r>
      <w:r w:rsidRPr="00D53751">
        <w:rPr>
          <w:rFonts w:ascii="Book Antiqua" w:hAnsi="Book Antiqua"/>
          <w:sz w:val="24"/>
          <w:szCs w:val="24"/>
        </w:rPr>
        <w:t>Cet. XI; Jakarta: Gema Insani</w:t>
      </w:r>
      <w:r w:rsidRPr="00D53751">
        <w:rPr>
          <w:rFonts w:ascii="Book Antiqua" w:hAnsi="Book Antiqua"/>
          <w:sz w:val="24"/>
          <w:szCs w:val="24"/>
          <w:lang w:val="en-US"/>
        </w:rPr>
        <w:t>.</w:t>
      </w:r>
    </w:p>
    <w:p w14:paraId="3B9FACC6" w14:textId="4B929B10" w:rsidR="005915E1" w:rsidRPr="00D53751" w:rsidRDefault="005915E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  <w:lang w:val="en-US"/>
        </w:rPr>
      </w:pPr>
      <w:r w:rsidRPr="00D53751">
        <w:rPr>
          <w:rFonts w:ascii="Book Antiqua" w:hAnsi="Book Antiqua"/>
          <w:sz w:val="24"/>
          <w:szCs w:val="24"/>
        </w:rPr>
        <w:t>Amandemen Undang-Undang Peradilan Agaman</w:t>
      </w:r>
      <w:r w:rsidRPr="00D53751">
        <w:rPr>
          <w:rFonts w:ascii="Book Antiqua" w:hAnsi="Book Antiqua"/>
          <w:sz w:val="24"/>
          <w:szCs w:val="24"/>
          <w:lang w:val="en-US"/>
        </w:rPr>
        <w:t>.2006.</w:t>
      </w:r>
      <w:r w:rsidRPr="00D53751">
        <w:rPr>
          <w:rFonts w:ascii="Book Antiqua" w:hAnsi="Book Antiqua"/>
          <w:sz w:val="24"/>
          <w:szCs w:val="24"/>
        </w:rPr>
        <w:t>UU RI No.3 Th. 2</w:t>
      </w:r>
      <w:r w:rsidRPr="00D53751">
        <w:rPr>
          <w:rFonts w:ascii="Book Antiqua" w:hAnsi="Book Antiqua"/>
          <w:sz w:val="24"/>
          <w:szCs w:val="24"/>
          <w:lang w:val="en-US"/>
        </w:rPr>
        <w:t>006.</w:t>
      </w:r>
      <w:r w:rsidRPr="00D53751">
        <w:rPr>
          <w:rFonts w:ascii="Book Antiqua" w:hAnsi="Book Antiqua"/>
          <w:sz w:val="24"/>
          <w:szCs w:val="24"/>
        </w:rPr>
        <w:t xml:space="preserve"> Cet. I; Jakarta: Sinar Grafika</w:t>
      </w:r>
      <w:r w:rsidRPr="00D53751">
        <w:rPr>
          <w:rFonts w:ascii="Book Antiqua" w:hAnsi="Book Antiqua"/>
          <w:sz w:val="24"/>
          <w:szCs w:val="24"/>
          <w:lang w:val="en-US"/>
        </w:rPr>
        <w:t>.</w:t>
      </w:r>
    </w:p>
    <w:p w14:paraId="03D409B7" w14:textId="146DFDE9" w:rsidR="00044C88" w:rsidRPr="00D53751" w:rsidRDefault="00044C88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lastRenderedPageBreak/>
        <w:t xml:space="preserve">Az-Zuhaili, Wahbah. 2011. </w:t>
      </w:r>
      <w:r w:rsidRPr="00D53751">
        <w:rPr>
          <w:rFonts w:ascii="Book Antiqua" w:hAnsi="Book Antiqua"/>
          <w:i/>
          <w:sz w:val="24"/>
          <w:szCs w:val="24"/>
        </w:rPr>
        <w:t>Fiqh Islam Wa Adillatuhu jilid 5</w:t>
      </w:r>
      <w:r w:rsidRPr="00D53751">
        <w:rPr>
          <w:rFonts w:ascii="Book Antiqua" w:hAnsi="Book Antiqua"/>
          <w:sz w:val="24"/>
          <w:szCs w:val="24"/>
        </w:rPr>
        <w:t>, terj. Abdul Hayyie al-Kattani, dkk. Jakarta: Gema Insani</w:t>
      </w:r>
    </w:p>
    <w:p w14:paraId="78855388" w14:textId="132F30C0" w:rsidR="00044C88" w:rsidRPr="00D53751" w:rsidRDefault="00044C88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 xml:space="preserve">Djazuli, A. 2006. </w:t>
      </w:r>
      <w:r w:rsidRPr="00D53751">
        <w:rPr>
          <w:rFonts w:ascii="Book Antiqua" w:hAnsi="Book Antiqua"/>
          <w:i/>
          <w:iCs/>
          <w:sz w:val="24"/>
          <w:szCs w:val="24"/>
        </w:rPr>
        <w:t>Kaidah–kaidah Fikih</w:t>
      </w:r>
      <w:r w:rsidRPr="00D53751">
        <w:rPr>
          <w:rFonts w:ascii="Book Antiqua" w:hAnsi="Book Antiqua"/>
          <w:sz w:val="24"/>
          <w:szCs w:val="24"/>
        </w:rPr>
        <w:t>. Jakarta: Prenadamedia Group</w:t>
      </w:r>
    </w:p>
    <w:p w14:paraId="19DECB6F" w14:textId="0978BE90" w:rsidR="005915E1" w:rsidRPr="00D53751" w:rsidRDefault="00044C88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 xml:space="preserve">Fauzan, M. 2017. </w:t>
      </w:r>
      <w:r w:rsidRPr="00D53751">
        <w:rPr>
          <w:rFonts w:ascii="Book Antiqua" w:hAnsi="Book Antiqua"/>
          <w:i/>
          <w:sz w:val="24"/>
          <w:szCs w:val="24"/>
        </w:rPr>
        <w:t xml:space="preserve">Kompilasi Hukum Ekonomi Syariah. </w:t>
      </w:r>
      <w:r w:rsidRPr="00D53751">
        <w:rPr>
          <w:rFonts w:ascii="Book Antiqua" w:hAnsi="Book Antiqua"/>
          <w:sz w:val="24"/>
          <w:szCs w:val="24"/>
        </w:rPr>
        <w:t>Jakarta: Kencana</w:t>
      </w:r>
    </w:p>
    <w:p w14:paraId="78333F06" w14:textId="458D676A" w:rsidR="005915E1" w:rsidRPr="00D53751" w:rsidRDefault="005915E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  <w:lang w:val="en-US"/>
        </w:rPr>
      </w:pPr>
      <w:r w:rsidRPr="00D53751">
        <w:rPr>
          <w:rFonts w:ascii="Book Antiqua" w:hAnsi="Book Antiqua"/>
          <w:sz w:val="24"/>
          <w:szCs w:val="24"/>
        </w:rPr>
        <w:t xml:space="preserve">A. Karim, </w:t>
      </w:r>
      <w:r w:rsidRPr="00D53751">
        <w:rPr>
          <w:rFonts w:ascii="Book Antiqua" w:hAnsi="Book Antiqua"/>
          <w:sz w:val="24"/>
          <w:szCs w:val="24"/>
          <w:lang w:val="en-US"/>
        </w:rPr>
        <w:t>2007.</w:t>
      </w:r>
      <w:r w:rsidRPr="00D53751">
        <w:rPr>
          <w:rFonts w:ascii="Book Antiqua" w:hAnsi="Book Antiqua"/>
          <w:sz w:val="24"/>
          <w:szCs w:val="24"/>
        </w:rPr>
        <w:t>Adiwarman. Bank Islam, Cet. III; Jakarta: Raja Grafindo</w:t>
      </w:r>
    </w:p>
    <w:p w14:paraId="2023FF46" w14:textId="0BF3FA31" w:rsidR="005915E1" w:rsidRPr="00D53751" w:rsidRDefault="005915E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>Gemala Dewi. 2005.</w:t>
      </w:r>
      <w:r w:rsidRPr="00D53751">
        <w:rPr>
          <w:rFonts w:ascii="Book Antiqua" w:hAnsi="Book Antiqua"/>
          <w:i/>
          <w:iCs/>
          <w:sz w:val="24"/>
          <w:szCs w:val="24"/>
        </w:rPr>
        <w:t xml:space="preserve">Hukum </w:t>
      </w:r>
      <w:proofErr w:type="spellStart"/>
      <w:r w:rsidRPr="00D53751">
        <w:rPr>
          <w:rFonts w:ascii="Book Antiqua" w:hAnsi="Book Antiqua"/>
          <w:i/>
          <w:iCs/>
          <w:sz w:val="24"/>
          <w:szCs w:val="24"/>
        </w:rPr>
        <w:t>Perikatan</w:t>
      </w:r>
      <w:proofErr w:type="spellEnd"/>
      <w:r w:rsidRPr="00D53751">
        <w:rPr>
          <w:rFonts w:ascii="Book Antiqua" w:hAnsi="Book Antiqua"/>
          <w:i/>
          <w:iCs/>
          <w:sz w:val="24"/>
          <w:szCs w:val="24"/>
        </w:rPr>
        <w:t xml:space="preserve"> Islam di Indonesia</w:t>
      </w:r>
      <w:r w:rsidRPr="00D53751">
        <w:rPr>
          <w:rFonts w:ascii="Book Antiqua" w:hAnsi="Book Antiqua"/>
          <w:sz w:val="24"/>
          <w:szCs w:val="24"/>
        </w:rPr>
        <w:t>.Jakarta: Rawa Mangun.</w:t>
      </w:r>
    </w:p>
    <w:p w14:paraId="7A5FCC22" w14:textId="77777777" w:rsidR="005915E1" w:rsidRPr="00D53751" w:rsidRDefault="00044C88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 xml:space="preserve">Nawawi, Ismail. 2012. </w:t>
      </w:r>
      <w:r w:rsidRPr="00D53751">
        <w:rPr>
          <w:rFonts w:ascii="Book Antiqua" w:hAnsi="Book Antiqua"/>
          <w:i/>
          <w:sz w:val="24"/>
          <w:szCs w:val="24"/>
        </w:rPr>
        <w:t xml:space="preserve">Fikih Muamalah Klasik dan Kontemporer. </w:t>
      </w:r>
      <w:r w:rsidRPr="00D53751">
        <w:rPr>
          <w:rFonts w:ascii="Book Antiqua" w:hAnsi="Book Antiqua"/>
          <w:sz w:val="24"/>
          <w:szCs w:val="24"/>
        </w:rPr>
        <w:t>Bogor: Penerbit Ghalia Indonesia.</w:t>
      </w:r>
    </w:p>
    <w:p w14:paraId="1D86A2E4" w14:textId="3188A3AC" w:rsidR="00286914" w:rsidRPr="00D53751" w:rsidRDefault="00286914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>Raihan,</w:t>
      </w:r>
      <w:r w:rsidR="00A6277B" w:rsidRPr="00D53751">
        <w:rPr>
          <w:rFonts w:ascii="Book Antiqua" w:hAnsi="Book Antiqua"/>
          <w:sz w:val="24"/>
          <w:szCs w:val="24"/>
        </w:rPr>
        <w:t>2017.</w:t>
      </w:r>
      <w:r w:rsidRPr="00D53751">
        <w:rPr>
          <w:rFonts w:ascii="Book Antiqua" w:hAnsi="Book Antiqua"/>
          <w:sz w:val="24"/>
          <w:szCs w:val="24"/>
        </w:rPr>
        <w:t xml:space="preserve"> </w:t>
      </w:r>
      <w:r w:rsidRPr="00D53751">
        <w:rPr>
          <w:rFonts w:ascii="Book Antiqua" w:hAnsi="Book Antiqua"/>
          <w:i/>
          <w:iCs/>
          <w:sz w:val="24"/>
          <w:szCs w:val="24"/>
        </w:rPr>
        <w:t>Metodologi Penelitian,</w:t>
      </w:r>
      <w:r w:rsidR="00A6277B" w:rsidRPr="00D53751">
        <w:rPr>
          <w:rFonts w:ascii="Book Antiqua" w:hAnsi="Book Antiqua"/>
          <w:sz w:val="24"/>
          <w:szCs w:val="24"/>
        </w:rPr>
        <w:t>U</w:t>
      </w:r>
      <w:r w:rsidRPr="00D53751">
        <w:rPr>
          <w:rFonts w:ascii="Book Antiqua" w:hAnsi="Book Antiqua"/>
          <w:sz w:val="24"/>
          <w:szCs w:val="24"/>
        </w:rPr>
        <w:t>niversitas Islam Jakarta</w:t>
      </w:r>
      <w:r w:rsidR="00A6277B" w:rsidRPr="00D53751">
        <w:rPr>
          <w:rFonts w:ascii="Book Antiqua" w:hAnsi="Book Antiqua"/>
          <w:sz w:val="24"/>
          <w:szCs w:val="24"/>
        </w:rPr>
        <w:t>.</w:t>
      </w:r>
    </w:p>
    <w:p w14:paraId="61FBBE5F" w14:textId="0311447A" w:rsidR="005915E1" w:rsidRPr="00D53751" w:rsidRDefault="005915E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 xml:space="preserve">Sholahuddin, </w:t>
      </w:r>
      <w:r w:rsidRPr="00D53751">
        <w:rPr>
          <w:rFonts w:ascii="Book Antiqua" w:hAnsi="Book Antiqua"/>
          <w:sz w:val="24"/>
          <w:szCs w:val="24"/>
          <w:lang w:val="en-US"/>
        </w:rPr>
        <w:t>2007.</w:t>
      </w:r>
      <w:r w:rsidRPr="00D53751">
        <w:rPr>
          <w:rFonts w:ascii="Book Antiqua" w:hAnsi="Book Antiqua"/>
          <w:i/>
          <w:iCs/>
          <w:sz w:val="24"/>
          <w:szCs w:val="24"/>
        </w:rPr>
        <w:t>Asas-Asas Ekonomi Islam,</w:t>
      </w:r>
      <w:r w:rsidRPr="00D53751">
        <w:rPr>
          <w:rFonts w:ascii="Book Antiqua" w:hAnsi="Book Antiqua"/>
          <w:sz w:val="24"/>
          <w:szCs w:val="24"/>
        </w:rPr>
        <w:t xml:space="preserve"> Cet. I; Jakarta: Raja Grafindo</w:t>
      </w:r>
    </w:p>
    <w:p w14:paraId="568C67F7" w14:textId="3E8587DE" w:rsidR="00D53751" w:rsidRPr="00D53751" w:rsidRDefault="00D5375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proofErr w:type="spellStart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Asfiani</w:t>
      </w:r>
      <w:proofErr w:type="spellEnd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 xml:space="preserve">. 2023.Tinjuan </w:t>
      </w:r>
      <w:proofErr w:type="spellStart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Fikih</w:t>
      </w:r>
      <w:proofErr w:type="spellEnd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Muamalah</w:t>
      </w:r>
      <w:proofErr w:type="spellEnd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Terhadap</w:t>
      </w:r>
      <w:proofErr w:type="spellEnd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Jual</w:t>
      </w:r>
      <w:proofErr w:type="spellEnd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Beli</w:t>
      </w:r>
      <w:proofErr w:type="spellEnd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Borongan..</w:t>
      </w:r>
      <w:proofErr w:type="gramEnd"/>
      <w:r w:rsidRPr="00D53751">
        <w:rPr>
          <w:rFonts w:ascii="Book Antiqua" w:hAnsi="Book Antiqua" w:cs="Arial"/>
          <w:sz w:val="24"/>
          <w:szCs w:val="24"/>
          <w:shd w:val="clear" w:color="auto" w:fill="FFFFFF"/>
        </w:rPr>
        <w:t>SIGHAT :Jurnal Hukum Ekonomi Syariah</w:t>
      </w:r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.</w:t>
      </w:r>
      <w:r w:rsidRPr="00D53751">
        <w:rPr>
          <w:rFonts w:ascii="Book Antiqua" w:hAnsi="Book Antiqua" w:cs="Arial"/>
          <w:sz w:val="24"/>
          <w:szCs w:val="24"/>
          <w:shd w:val="clear" w:color="auto" w:fill="FFFFFF"/>
          <w:lang w:val="en-US"/>
        </w:rPr>
        <w:t>Volume 2 .2023</w:t>
      </w:r>
    </w:p>
    <w:p w14:paraId="36204F92" w14:textId="589BD4F6" w:rsidR="00D53751" w:rsidRPr="00D53751" w:rsidRDefault="00D5375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 xml:space="preserve">Darmawati H </w:t>
      </w:r>
      <w:r w:rsidRPr="00D53751">
        <w:rPr>
          <w:rFonts w:ascii="Book Antiqua" w:hAnsi="Book Antiqua"/>
          <w:sz w:val="24"/>
          <w:szCs w:val="24"/>
          <w:lang w:val="en-US"/>
        </w:rPr>
        <w:t>,2018,</w:t>
      </w:r>
      <w:r w:rsidRPr="00D53751">
        <w:rPr>
          <w:rFonts w:ascii="Book Antiqua" w:hAnsi="Book Antiqua"/>
          <w:i/>
          <w:iCs/>
          <w:sz w:val="24"/>
          <w:szCs w:val="24"/>
        </w:rPr>
        <w:t>Akad Dalam Transaksi Ekonomi Syari’ah</w:t>
      </w:r>
      <w:r w:rsidRPr="00D53751">
        <w:rPr>
          <w:rFonts w:ascii="Book Antiqua" w:hAnsi="Book Antiqua"/>
          <w:sz w:val="24"/>
          <w:szCs w:val="24"/>
          <w:lang w:val="en-US"/>
        </w:rPr>
        <w:t>.</w:t>
      </w:r>
      <w:proofErr w:type="spellStart"/>
      <w:r w:rsidRPr="00D53751">
        <w:rPr>
          <w:rFonts w:ascii="Book Antiqua" w:hAnsi="Book Antiqua"/>
          <w:sz w:val="24"/>
          <w:szCs w:val="24"/>
          <w:lang w:val="en-US"/>
        </w:rPr>
        <w:t>Jurnal</w:t>
      </w:r>
      <w:proofErr w:type="spellEnd"/>
      <w:r w:rsidRPr="00D53751">
        <w:rPr>
          <w:rFonts w:ascii="Book Antiqua" w:hAnsi="Book Antiqua"/>
          <w:sz w:val="24"/>
          <w:szCs w:val="24"/>
          <w:lang w:val="en-US"/>
        </w:rPr>
        <w:t xml:space="preserve"> </w:t>
      </w:r>
      <w:r w:rsidRPr="00D53751">
        <w:rPr>
          <w:rFonts w:ascii="Book Antiqua" w:hAnsi="Book Antiqua"/>
          <w:sz w:val="24"/>
          <w:szCs w:val="24"/>
        </w:rPr>
        <w:t>Sulesana Volume 12 Nomor 2 Tahun 2018</w:t>
      </w:r>
    </w:p>
    <w:p w14:paraId="6D45B5A9" w14:textId="69C56F92" w:rsidR="00D53751" w:rsidRPr="00D53751" w:rsidRDefault="00D53751" w:rsidP="00D53751">
      <w:pPr>
        <w:pStyle w:val="FootnoteText"/>
        <w:tabs>
          <w:tab w:val="left" w:pos="2410"/>
        </w:tabs>
        <w:spacing w:line="360" w:lineRule="auto"/>
        <w:ind w:left="1276" w:hanging="556"/>
        <w:jc w:val="both"/>
        <w:rPr>
          <w:rFonts w:ascii="Book Antiqua" w:hAnsi="Book Antiqua"/>
          <w:sz w:val="24"/>
          <w:szCs w:val="24"/>
        </w:rPr>
      </w:pPr>
      <w:r w:rsidRPr="00D53751">
        <w:rPr>
          <w:rFonts w:ascii="Book Antiqua" w:hAnsi="Book Antiqua"/>
          <w:sz w:val="24"/>
          <w:szCs w:val="24"/>
        </w:rPr>
        <w:t>Nuraziza Dya Arini</w:t>
      </w:r>
      <w:r w:rsidRPr="00D53751">
        <w:rPr>
          <w:rFonts w:ascii="Book Antiqua" w:hAnsi="Book Antiqua"/>
          <w:sz w:val="24"/>
          <w:szCs w:val="24"/>
          <w:lang w:val="en-US"/>
        </w:rPr>
        <w:t>.2021.</w:t>
      </w:r>
      <w:r w:rsidRPr="00D53751">
        <w:rPr>
          <w:rFonts w:ascii="Book Antiqua" w:hAnsi="Book Antiqua"/>
          <w:i/>
          <w:iCs/>
          <w:sz w:val="24"/>
          <w:szCs w:val="24"/>
          <w:lang w:val="en-US"/>
        </w:rPr>
        <w:t xml:space="preserve">Keabsahan </w:t>
      </w:r>
      <w:proofErr w:type="spellStart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>Akad</w:t>
      </w:r>
      <w:proofErr w:type="spellEnd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>Jual</w:t>
      </w:r>
      <w:proofErr w:type="spellEnd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>Beli</w:t>
      </w:r>
      <w:proofErr w:type="spellEnd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>Dalam</w:t>
      </w:r>
      <w:proofErr w:type="spellEnd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>Transaksi</w:t>
      </w:r>
      <w:proofErr w:type="spellEnd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>Ekonomi</w:t>
      </w:r>
      <w:proofErr w:type="spellEnd"/>
      <w:r w:rsidRPr="00D53751">
        <w:rPr>
          <w:rFonts w:ascii="Book Antiqua" w:hAnsi="Book Antiqua"/>
          <w:i/>
          <w:iCs/>
          <w:sz w:val="24"/>
          <w:szCs w:val="24"/>
          <w:lang w:val="en-US"/>
        </w:rPr>
        <w:t xml:space="preserve"> Syariah</w:t>
      </w:r>
      <w:r w:rsidRPr="00D53751">
        <w:rPr>
          <w:rFonts w:ascii="Book Antiqua" w:hAnsi="Book Antiqua"/>
          <w:sz w:val="24"/>
          <w:szCs w:val="24"/>
          <w:lang w:val="en-US"/>
        </w:rPr>
        <w:t>.</w:t>
      </w:r>
      <w:r w:rsidRPr="00D53751">
        <w:rPr>
          <w:rFonts w:ascii="Book Antiqua" w:hAnsi="Book Antiqua"/>
          <w:sz w:val="24"/>
          <w:szCs w:val="24"/>
        </w:rPr>
        <w:t>Universitas Trunojoyo Madura</w:t>
      </w:r>
      <w:r w:rsidRPr="00D53751">
        <w:rPr>
          <w:rFonts w:ascii="Book Antiqua" w:hAnsi="Book Antiqua"/>
          <w:sz w:val="24"/>
          <w:szCs w:val="24"/>
          <w:lang w:val="en-US"/>
        </w:rPr>
        <w:t>.</w:t>
      </w:r>
      <w:r w:rsidRPr="00D53751">
        <w:rPr>
          <w:rFonts w:ascii="Book Antiqua" w:hAnsi="Book Antiqua"/>
          <w:sz w:val="24"/>
          <w:szCs w:val="24"/>
        </w:rPr>
        <w:t>Qawwam: The Leader’s Writing Vol. 2, No. 2, Desember 2021.</w:t>
      </w:r>
    </w:p>
    <w:p w14:paraId="12D36FBC" w14:textId="10EE7E0E" w:rsidR="005915E1" w:rsidRDefault="005915E1" w:rsidP="005915E1">
      <w:pPr>
        <w:pStyle w:val="FootnoteText"/>
        <w:spacing w:line="480" w:lineRule="auto"/>
        <w:ind w:left="1276" w:hanging="556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proofErr w:type="spellStart"/>
      <w:r w:rsidRPr="005915E1">
        <w:rPr>
          <w:rFonts w:ascii="Book Antiqua" w:hAnsi="Book Antiqua"/>
          <w:b/>
          <w:bCs/>
          <w:sz w:val="24"/>
          <w:szCs w:val="24"/>
          <w:lang w:val="en-US"/>
        </w:rPr>
        <w:t>Peraturan</w:t>
      </w:r>
      <w:proofErr w:type="spellEnd"/>
      <w:r w:rsidRPr="005915E1"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  <w:proofErr w:type="spellStart"/>
      <w:r w:rsidRPr="005915E1">
        <w:rPr>
          <w:rFonts w:ascii="Book Antiqua" w:hAnsi="Book Antiqua"/>
          <w:b/>
          <w:bCs/>
          <w:sz w:val="24"/>
          <w:szCs w:val="24"/>
          <w:lang w:val="en-US"/>
        </w:rPr>
        <w:t>Undang-Und</w:t>
      </w:r>
      <w:r w:rsidR="00D53751">
        <w:rPr>
          <w:rFonts w:ascii="Book Antiqua" w:hAnsi="Book Antiqua"/>
          <w:b/>
          <w:bCs/>
          <w:sz w:val="24"/>
          <w:szCs w:val="24"/>
          <w:lang w:val="en-US"/>
        </w:rPr>
        <w:t>ang</w:t>
      </w:r>
      <w:proofErr w:type="spellEnd"/>
    </w:p>
    <w:p w14:paraId="34FF84A0" w14:textId="2866993B" w:rsidR="00D53751" w:rsidRDefault="00D53751" w:rsidP="00D53751">
      <w:pPr>
        <w:pStyle w:val="FootnoteText"/>
        <w:spacing w:line="480" w:lineRule="auto"/>
        <w:ind w:left="1276" w:hanging="556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>
        <w:rPr>
          <w:sz w:val="24"/>
        </w:rPr>
        <w:t>Fatwa DSN-MUI Nomor.114/IX/2017 tentang Akad Syirkah</w:t>
      </w:r>
    </w:p>
    <w:p w14:paraId="58EBD522" w14:textId="62835C4C" w:rsidR="00D53751" w:rsidRPr="00D53751" w:rsidRDefault="00D53751" w:rsidP="00D53751">
      <w:pPr>
        <w:pStyle w:val="FootnoteText"/>
        <w:spacing w:line="360" w:lineRule="auto"/>
        <w:ind w:left="1276" w:hanging="556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D53751">
        <w:rPr>
          <w:sz w:val="24"/>
          <w:szCs w:val="24"/>
        </w:rPr>
        <w:t>Keputusan Dewan Syariah Nasional No. 10.Tahun 2000 tentang Pedoman Dasar Syari’ah Nasional Majelis Ulama Indonesia (PD DSN-MUI).</w:t>
      </w:r>
    </w:p>
    <w:p w14:paraId="64504D18" w14:textId="77777777" w:rsidR="005915E1" w:rsidRPr="005915E1" w:rsidRDefault="005915E1" w:rsidP="005915E1">
      <w:pPr>
        <w:pStyle w:val="FootnoteText"/>
        <w:spacing w:line="480" w:lineRule="auto"/>
        <w:ind w:left="1276" w:hanging="556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3517807B" w14:textId="77777777" w:rsidR="007E42E9" w:rsidRPr="007E42E9" w:rsidRDefault="007E42E9" w:rsidP="007E42E9">
      <w:pPr>
        <w:pStyle w:val="ListParagraph"/>
        <w:spacing w:line="360" w:lineRule="auto"/>
        <w:rPr>
          <w:rFonts w:ascii="Book Antiqua" w:hAnsi="Book Antiqua"/>
          <w:sz w:val="24"/>
          <w:szCs w:val="24"/>
        </w:rPr>
      </w:pPr>
    </w:p>
    <w:sectPr w:rsidR="007E42E9" w:rsidRPr="007E4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75EC" w14:textId="77777777" w:rsidR="00842ACF" w:rsidRDefault="00842ACF" w:rsidP="007E42E9">
      <w:pPr>
        <w:spacing w:after="0" w:line="240" w:lineRule="auto"/>
      </w:pPr>
      <w:r>
        <w:separator/>
      </w:r>
    </w:p>
  </w:endnote>
  <w:endnote w:type="continuationSeparator" w:id="0">
    <w:p w14:paraId="3C9EED07" w14:textId="77777777" w:rsidR="00842ACF" w:rsidRDefault="00842ACF" w:rsidP="007E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227F" w14:textId="77777777" w:rsidR="00842ACF" w:rsidRDefault="00842ACF" w:rsidP="007E42E9">
      <w:pPr>
        <w:spacing w:after="0" w:line="240" w:lineRule="auto"/>
      </w:pPr>
      <w:r>
        <w:separator/>
      </w:r>
    </w:p>
  </w:footnote>
  <w:footnote w:type="continuationSeparator" w:id="0">
    <w:p w14:paraId="5F15F9E0" w14:textId="77777777" w:rsidR="00842ACF" w:rsidRDefault="00842ACF" w:rsidP="007E4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7761"/>
    <w:multiLevelType w:val="hybridMultilevel"/>
    <w:tmpl w:val="68B68C7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87018"/>
    <w:multiLevelType w:val="multilevel"/>
    <w:tmpl w:val="482870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cs="Times New Roman" w:hint="default"/>
        <w:u w:val="none"/>
      </w:rPr>
    </w:lvl>
  </w:abstractNum>
  <w:abstractNum w:abstractNumId="2" w15:restartNumberingAfterBreak="0">
    <w:nsid w:val="54B864A9"/>
    <w:multiLevelType w:val="multilevel"/>
    <w:tmpl w:val="199E190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hint="default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cs="Times New Roman" w:hint="default"/>
        <w:u w:val="none"/>
      </w:rPr>
    </w:lvl>
  </w:abstractNum>
  <w:abstractNum w:abstractNumId="3" w15:restartNumberingAfterBreak="0">
    <w:nsid w:val="63D05CD1"/>
    <w:multiLevelType w:val="hybridMultilevel"/>
    <w:tmpl w:val="F7BA676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93"/>
    <w:rsid w:val="00044C88"/>
    <w:rsid w:val="00286914"/>
    <w:rsid w:val="003B7893"/>
    <w:rsid w:val="005915E1"/>
    <w:rsid w:val="00760832"/>
    <w:rsid w:val="007E42E9"/>
    <w:rsid w:val="00842ACF"/>
    <w:rsid w:val="00A6277B"/>
    <w:rsid w:val="00AC39FE"/>
    <w:rsid w:val="00D53751"/>
    <w:rsid w:val="00D8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074F"/>
  <w15:chartTrackingRefBased/>
  <w15:docId w15:val="{958B2518-8EB4-4943-96CB-23CC7D14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8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8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7E42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E42E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42E9"/>
    <w:rPr>
      <w:rFonts w:ascii="Times New Roman" w:eastAsia="SimSun" w:hAnsi="Times New Roman" w:cs="Times New Roman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unhideWhenUsed/>
    <w:rsid w:val="007E42E9"/>
    <w:rPr>
      <w:rFonts w:asci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nanita@uinsaizu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rmannizar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2023-12-27T01:11:00Z</dcterms:created>
  <dcterms:modified xsi:type="dcterms:W3CDTF">2023-12-27T02:42:00Z</dcterms:modified>
</cp:coreProperties>
</file>